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D12" w:rsidRDefault="00991D12" w:rsidP="005F0271">
      <w:pPr>
        <w:jc w:val="center"/>
        <w:rPr>
          <w:b/>
          <w:bCs/>
          <w:sz w:val="26"/>
          <w:szCs w:val="26"/>
          <w:rtl/>
        </w:rPr>
      </w:pPr>
      <w:r>
        <w:rPr>
          <w:noProof/>
        </w:rPr>
        <w:drawing>
          <wp:inline distT="0" distB="0" distL="0" distR="0" wp14:anchorId="1C84503C" wp14:editId="704508AA">
            <wp:extent cx="509905" cy="624205"/>
            <wp:effectExtent l="0" t="0" r="4445" b="4445"/>
            <wp:docPr id="1" name="תמונה 1" descr="סמל המדינה"/>
            <wp:cNvGraphicFramePr/>
            <a:graphic xmlns:a="http://schemas.openxmlformats.org/drawingml/2006/main">
              <a:graphicData uri="http://schemas.openxmlformats.org/drawingml/2006/picture">
                <pic:pic xmlns:pic="http://schemas.openxmlformats.org/drawingml/2006/picture">
                  <pic:nvPicPr>
                    <pic:cNvPr id="1" name="תמונה 1" descr="סמל המדינה"/>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rsidR="00991D12" w:rsidRDefault="00991D12" w:rsidP="005F0271">
      <w:pPr>
        <w:rPr>
          <w:b/>
          <w:bCs/>
          <w:sz w:val="26"/>
          <w:szCs w:val="26"/>
          <w:rtl/>
        </w:rPr>
      </w:pPr>
      <w:r w:rsidRPr="00CB5068">
        <w:rPr>
          <w:b/>
          <w:bCs/>
          <w:sz w:val="26"/>
          <w:szCs w:val="26"/>
          <w:rtl/>
        </w:rPr>
        <w:t>תוכן עניינים</w:t>
      </w:r>
    </w:p>
    <w:p w:rsidR="00991D12" w:rsidRDefault="00991D12" w:rsidP="00991D12">
      <w:pPr>
        <w:pStyle w:val="TOC1"/>
        <w:rPr>
          <w:rFonts w:asciiTheme="minorHAnsi" w:eastAsiaTheme="minorEastAsia" w:hAnsiTheme="minorHAnsi" w:cstheme="minorBidi"/>
          <w:bCs w:val="0"/>
          <w:noProof/>
          <w:sz w:val="22"/>
          <w:rtl/>
        </w:rPr>
      </w:pPr>
      <w:r>
        <w:rPr>
          <w:rtl/>
        </w:rPr>
        <w:fldChar w:fldCharType="begin"/>
      </w:r>
      <w:r>
        <w:rPr>
          <w:rtl/>
        </w:rPr>
        <w:instrText xml:space="preserve"> </w:instrText>
      </w:r>
      <w:r>
        <w:instrText>TOC</w:instrText>
      </w:r>
      <w:r>
        <w:rPr>
          <w:rtl/>
        </w:rPr>
        <w:instrText xml:space="preserve"> \</w:instrText>
      </w:r>
      <w:r>
        <w:instrText>o "1-9" \h \z \t "Table SideHeading,3,Table Head,2,Head HatzaotHok,1,Head DivreiHesber,2,Head HatzaotHok4Futer,1</w:instrText>
      </w:r>
      <w:r>
        <w:rPr>
          <w:rtl/>
        </w:rPr>
        <w:instrText xml:space="preserve">" </w:instrText>
      </w:r>
      <w:r>
        <w:rPr>
          <w:rtl/>
        </w:rPr>
        <w:fldChar w:fldCharType="separate"/>
      </w:r>
      <w:hyperlink w:anchor="_Toc139532066" w:history="1">
        <w:r w:rsidRPr="001A089C">
          <w:rPr>
            <w:rStyle w:val="Hyperlink"/>
            <w:noProof/>
            <w:rtl/>
          </w:rPr>
          <w:t>טיוטת תקנות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Toc139532066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991D12" w:rsidRDefault="00991D12" w:rsidP="00991D12">
      <w:pPr>
        <w:pStyle w:val="TOC4"/>
        <w:rPr>
          <w:rFonts w:cstheme="minorBidi"/>
          <w:rtl/>
        </w:rPr>
      </w:pPr>
      <w:hyperlink w:anchor="_Toc139532067" w:history="1">
        <w:r w:rsidRPr="001A089C">
          <w:rPr>
            <w:rStyle w:val="Hyperlink"/>
            <w:rtl/>
          </w:rPr>
          <w:t>א. שם התקנות המוצעות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Toc139532067 \h</w:instrText>
        </w:r>
        <w:r>
          <w:rPr>
            <w:webHidden/>
            <w:rtl/>
          </w:rPr>
          <w:instrText xml:space="preserve"> </w:instrText>
        </w:r>
        <w:r>
          <w:rPr>
            <w:rStyle w:val="Hyperlink"/>
            <w:rtl/>
          </w:rPr>
        </w:r>
        <w:r>
          <w:rPr>
            <w:rStyle w:val="Hyperlink"/>
            <w:rtl/>
          </w:rPr>
          <w:fldChar w:fldCharType="separate"/>
        </w:r>
        <w:r>
          <w:rPr>
            <w:webHidden/>
            <w:rtl/>
          </w:rPr>
          <w:t>2</w:t>
        </w:r>
        <w:r>
          <w:rPr>
            <w:rStyle w:val="Hyperlink"/>
            <w:rtl/>
          </w:rPr>
          <w:fldChar w:fldCharType="end"/>
        </w:r>
      </w:hyperlink>
    </w:p>
    <w:p w:rsidR="00991D12" w:rsidRDefault="00991D12" w:rsidP="00991D12">
      <w:pPr>
        <w:pStyle w:val="TOC4"/>
        <w:rPr>
          <w:rFonts w:cstheme="minorBidi"/>
          <w:rtl/>
        </w:rPr>
      </w:pPr>
      <w:hyperlink w:anchor="_Toc139532068" w:history="1">
        <w:r w:rsidRPr="001A089C">
          <w:rPr>
            <w:rStyle w:val="Hyperlink"/>
            <w:rtl/>
          </w:rPr>
          <w:t>ב. מטרת התקנות המוצעות והצורך בהן</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Toc139532068 \h</w:instrText>
        </w:r>
        <w:r>
          <w:rPr>
            <w:webHidden/>
            <w:rtl/>
          </w:rPr>
          <w:instrText xml:space="preserve"> </w:instrText>
        </w:r>
        <w:r>
          <w:rPr>
            <w:rStyle w:val="Hyperlink"/>
            <w:rtl/>
          </w:rPr>
        </w:r>
        <w:r>
          <w:rPr>
            <w:rStyle w:val="Hyperlink"/>
            <w:rtl/>
          </w:rPr>
          <w:fldChar w:fldCharType="separate"/>
        </w:r>
        <w:r>
          <w:rPr>
            <w:webHidden/>
            <w:rtl/>
          </w:rPr>
          <w:t>2</w:t>
        </w:r>
        <w:r>
          <w:rPr>
            <w:rStyle w:val="Hyperlink"/>
            <w:rtl/>
          </w:rPr>
          <w:fldChar w:fldCharType="end"/>
        </w:r>
      </w:hyperlink>
    </w:p>
    <w:p w:rsidR="00991D12" w:rsidRDefault="00991D12" w:rsidP="00991D12">
      <w:pPr>
        <w:pStyle w:val="TOC4"/>
        <w:rPr>
          <w:rFonts w:cstheme="minorBidi"/>
          <w:rtl/>
        </w:rPr>
      </w:pPr>
      <w:hyperlink w:anchor="_Toc139532069" w:history="1">
        <w:r w:rsidRPr="001A089C">
          <w:rPr>
            <w:rStyle w:val="Hyperlink"/>
            <w:rtl/>
          </w:rPr>
          <w:t>ג. להלן נוסח טיוטת התקנות המוצעות:</w:t>
        </w:r>
        <w:r>
          <w:rPr>
            <w:webHidden/>
            <w:rtl/>
          </w:rPr>
          <w:tab/>
        </w:r>
        <w:r>
          <w:rPr>
            <w:rStyle w:val="Hyperlink"/>
            <w:rtl/>
          </w:rPr>
          <w:fldChar w:fldCharType="begin"/>
        </w:r>
        <w:r>
          <w:rPr>
            <w:webHidden/>
            <w:rtl/>
          </w:rPr>
          <w:instrText xml:space="preserve"> </w:instrText>
        </w:r>
        <w:r>
          <w:rPr>
            <w:webHidden/>
          </w:rPr>
          <w:instrText>PAGEREF</w:instrText>
        </w:r>
        <w:r>
          <w:rPr>
            <w:webHidden/>
            <w:rtl/>
          </w:rPr>
          <w:instrText xml:space="preserve"> _</w:instrText>
        </w:r>
        <w:r>
          <w:rPr>
            <w:webHidden/>
          </w:rPr>
          <w:instrText>Toc139532069 \h</w:instrText>
        </w:r>
        <w:r>
          <w:rPr>
            <w:webHidden/>
            <w:rtl/>
          </w:rPr>
          <w:instrText xml:space="preserve"> </w:instrText>
        </w:r>
        <w:r>
          <w:rPr>
            <w:rStyle w:val="Hyperlink"/>
            <w:rtl/>
          </w:rPr>
        </w:r>
        <w:r>
          <w:rPr>
            <w:rStyle w:val="Hyperlink"/>
            <w:rtl/>
          </w:rPr>
          <w:fldChar w:fldCharType="separate"/>
        </w:r>
        <w:r>
          <w:rPr>
            <w:webHidden/>
            <w:rtl/>
          </w:rPr>
          <w:t>2</w:t>
        </w:r>
        <w:r>
          <w:rPr>
            <w:rStyle w:val="Hyperlink"/>
            <w:rtl/>
          </w:rPr>
          <w:fldChar w:fldCharType="end"/>
        </w:r>
      </w:hyperlink>
    </w:p>
    <w:p w:rsidR="00991D12" w:rsidRDefault="00991D12" w:rsidP="00991D12">
      <w:pPr>
        <w:pStyle w:val="TOC1"/>
        <w:rPr>
          <w:rFonts w:asciiTheme="minorHAnsi" w:eastAsiaTheme="minorEastAsia" w:hAnsiTheme="minorHAnsi" w:cstheme="minorBidi"/>
          <w:bCs w:val="0"/>
          <w:noProof/>
          <w:sz w:val="22"/>
          <w:rtl/>
        </w:rPr>
      </w:pPr>
      <w:hyperlink w:anchor="_Toc139532070" w:history="1">
        <w:r w:rsidRPr="001A089C">
          <w:rPr>
            <w:rStyle w:val="Hyperlink"/>
            <w:noProof/>
            <w:rtl/>
          </w:rPr>
          <w:t xml:space="preserve">טיוטת תקנות </w:t>
        </w:r>
        <w:r w:rsidRPr="001A089C">
          <w:rPr>
            <w:rStyle w:val="Hyperlink"/>
            <w:rFonts w:eastAsia="Times New Roman"/>
            <w:noProof/>
            <w:rtl/>
            <w:lang w:eastAsia="he-IL"/>
          </w:rPr>
          <w:t xml:space="preserve">השקעות משותפות בנאמנות (נכסים שמותר לקנות ולהחזיק בקרן ושיעוריהם המרביים), </w:t>
        </w:r>
        <w:r w:rsidRPr="001A089C">
          <w:rPr>
            <w:rStyle w:val="Hyperlink"/>
            <w:noProof/>
            <w:rtl/>
          </w:rPr>
          <w:t>(תיקון מס'...)</w:t>
        </w:r>
        <w:r w:rsidRPr="001A089C">
          <w:rPr>
            <w:rStyle w:val="Hyperlink"/>
            <w:rFonts w:eastAsia="Times New Roman"/>
            <w:noProof/>
            <w:rtl/>
            <w:lang w:eastAsia="he-IL"/>
          </w:rPr>
          <w:t xml:space="preserve"> </w:t>
        </w:r>
        <w:r w:rsidRPr="001A089C">
          <w:rPr>
            <w:rStyle w:val="Hyperlink"/>
            <w:noProof/>
            <w:rtl/>
          </w:rPr>
          <w:t>התשפ"ג-2023</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Toc139532070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991D12" w:rsidRDefault="00991D12" w:rsidP="00991D12">
      <w:pPr>
        <w:pStyle w:val="TOC3"/>
        <w:rPr>
          <w:rFonts w:asciiTheme="minorHAnsi" w:eastAsiaTheme="minorEastAsia" w:hAnsiTheme="minorHAnsi" w:cstheme="minorBidi"/>
          <w:noProof/>
          <w:sz w:val="22"/>
          <w:rtl/>
        </w:rPr>
      </w:pPr>
      <w:hyperlink w:anchor="_Toc139532071" w:history="1">
        <w:r w:rsidRPr="001A089C">
          <w:rPr>
            <w:rStyle w:val="Hyperlink"/>
            <w:noProof/>
            <w:rtl/>
          </w:rPr>
          <w:t>תיקון תקנה 1</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Toc139532071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991D12" w:rsidRDefault="00991D12" w:rsidP="00991D12">
      <w:pPr>
        <w:pStyle w:val="TOC3"/>
        <w:rPr>
          <w:rFonts w:asciiTheme="minorHAnsi" w:eastAsiaTheme="minorEastAsia" w:hAnsiTheme="minorHAnsi" w:cstheme="minorBidi"/>
          <w:noProof/>
          <w:sz w:val="22"/>
          <w:rtl/>
        </w:rPr>
      </w:pPr>
      <w:hyperlink w:anchor="_Toc139532072" w:history="1">
        <w:r w:rsidRPr="001A089C">
          <w:rPr>
            <w:rStyle w:val="Hyperlink"/>
            <w:noProof/>
            <w:rtl/>
          </w:rPr>
          <w:t>תיקון תקנה 2</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Toc139532072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991D12" w:rsidRDefault="00991D12" w:rsidP="00991D12">
      <w:pPr>
        <w:pStyle w:val="TOC3"/>
        <w:rPr>
          <w:rFonts w:asciiTheme="minorHAnsi" w:eastAsiaTheme="minorEastAsia" w:hAnsiTheme="minorHAnsi" w:cstheme="minorBidi"/>
          <w:noProof/>
          <w:sz w:val="22"/>
          <w:rtl/>
        </w:rPr>
      </w:pPr>
      <w:hyperlink w:anchor="_Toc139532073" w:history="1">
        <w:r w:rsidRPr="001A089C">
          <w:rPr>
            <w:rStyle w:val="Hyperlink"/>
            <w:noProof/>
            <w:rtl/>
          </w:rPr>
          <w:t>תיקון תקנה 5</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Toc139532073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991D12" w:rsidRDefault="00991D12" w:rsidP="00991D12">
      <w:pPr>
        <w:pStyle w:val="TOC3"/>
        <w:rPr>
          <w:rFonts w:asciiTheme="minorHAnsi" w:eastAsiaTheme="minorEastAsia" w:hAnsiTheme="minorHAnsi" w:cstheme="minorBidi"/>
          <w:noProof/>
          <w:sz w:val="22"/>
          <w:rtl/>
        </w:rPr>
      </w:pPr>
      <w:hyperlink w:anchor="_Toc139532074" w:history="1">
        <w:r w:rsidRPr="001A089C">
          <w:rPr>
            <w:rStyle w:val="Hyperlink"/>
            <w:noProof/>
            <w:rtl/>
          </w:rPr>
          <w:t>תיקון תקנה 6</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Toc139532074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991D12" w:rsidRDefault="00991D12" w:rsidP="00991D12">
      <w:pPr>
        <w:pStyle w:val="TOC3"/>
        <w:rPr>
          <w:rFonts w:asciiTheme="minorHAnsi" w:eastAsiaTheme="minorEastAsia" w:hAnsiTheme="minorHAnsi" w:cstheme="minorBidi"/>
          <w:noProof/>
          <w:sz w:val="22"/>
          <w:rtl/>
        </w:rPr>
      </w:pPr>
      <w:hyperlink w:anchor="_Toc139532075" w:history="1">
        <w:r w:rsidRPr="001A089C">
          <w:rPr>
            <w:rStyle w:val="Hyperlink"/>
            <w:noProof/>
            <w:rtl/>
          </w:rPr>
          <w:t>תיקון תקנה 8</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Toc139532075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991D12" w:rsidRDefault="00991D12" w:rsidP="00991D12">
      <w:pPr>
        <w:pStyle w:val="TOC2"/>
        <w:rPr>
          <w:rFonts w:asciiTheme="minorHAnsi" w:eastAsiaTheme="minorEastAsia" w:hAnsiTheme="minorHAnsi" w:cstheme="minorBidi"/>
          <w:noProof/>
          <w:sz w:val="22"/>
          <w:rtl/>
        </w:rPr>
      </w:pPr>
      <w:hyperlink w:anchor="_Toc139532076" w:history="1">
        <w:r w:rsidRPr="001A089C">
          <w:rPr>
            <w:rStyle w:val="Hyperlink"/>
            <w:noProof/>
            <w:rtl/>
          </w:rPr>
          <w:t>דברי הסבר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Toc139532076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991D12" w:rsidRDefault="00991D12" w:rsidP="00991D12">
      <w:pPr>
        <w:rPr>
          <w:snapToGrid w:val="0"/>
          <w:rtl/>
        </w:rPr>
      </w:pPr>
      <w:r>
        <w:rPr>
          <w:rtl/>
        </w:rPr>
        <w:fldChar w:fldCharType="end"/>
      </w:r>
      <w:r>
        <w:rPr>
          <w:rtl/>
        </w:rPr>
        <w:br w:type="page"/>
      </w:r>
    </w:p>
    <w:p w:rsidR="003549D7" w:rsidRDefault="003549D7" w:rsidP="00722C14">
      <w:pPr>
        <w:pStyle w:val="1"/>
        <w:keepNext w:val="0"/>
        <w:keepLines w:val="0"/>
      </w:pPr>
      <w:bookmarkStart w:id="0" w:name="_Toc139532047"/>
      <w:bookmarkStart w:id="1" w:name="_Toc139532066"/>
      <w:r>
        <w:rPr>
          <w:rtl/>
        </w:rPr>
        <w:t>טיוטת תקנות</w:t>
      </w:r>
      <w:bookmarkEnd w:id="0"/>
      <w:bookmarkEnd w:id="1"/>
    </w:p>
    <w:p w:rsidR="003549D7" w:rsidRDefault="003549D7" w:rsidP="00722C14">
      <w:pPr>
        <w:rPr>
          <w:rtl/>
        </w:rPr>
      </w:pPr>
    </w:p>
    <w:p w:rsidR="003549D7" w:rsidRDefault="003549D7" w:rsidP="00F24A78">
      <w:pPr>
        <w:pStyle w:val="4"/>
        <w:rPr>
          <w:rtl/>
        </w:rPr>
      </w:pPr>
      <w:bookmarkStart w:id="2" w:name="_Toc139532067"/>
      <w:r>
        <w:rPr>
          <w:rFonts w:hint="cs"/>
          <w:rtl/>
        </w:rPr>
        <w:t>שם התקנות המוצעות</w:t>
      </w:r>
      <w:bookmarkEnd w:id="2"/>
    </w:p>
    <w:p w:rsidR="003549D7" w:rsidRPr="003549D7" w:rsidRDefault="003549D7" w:rsidP="00722C14">
      <w:r w:rsidRPr="003549D7">
        <w:rPr>
          <w:rtl/>
        </w:rPr>
        <w:t xml:space="preserve">תקנות </w:t>
      </w:r>
      <w:r w:rsidRPr="003549D7">
        <w:rPr>
          <w:rFonts w:eastAsia="Times New Roman"/>
          <w:rtl/>
          <w:lang w:eastAsia="he-IL"/>
        </w:rPr>
        <w:t xml:space="preserve">השקעות </w:t>
      </w:r>
      <w:bookmarkStart w:id="3" w:name="_GoBack"/>
      <w:bookmarkEnd w:id="3"/>
      <w:r w:rsidRPr="003549D7">
        <w:rPr>
          <w:rFonts w:eastAsia="Times New Roman"/>
          <w:rtl/>
          <w:lang w:eastAsia="he-IL"/>
        </w:rPr>
        <w:t>משותפות בנאמנות (נכסים שמותר לקנות ולהחזיק בקרן ושיעוריהם המרביים), התשנ"ה-1994</w:t>
      </w:r>
    </w:p>
    <w:p w:rsidR="003549D7" w:rsidRDefault="003549D7" w:rsidP="00722C14">
      <w:pPr>
        <w:rPr>
          <w:rtl/>
        </w:rPr>
      </w:pPr>
    </w:p>
    <w:p w:rsidR="003549D7" w:rsidRDefault="003549D7" w:rsidP="00722C14">
      <w:pPr>
        <w:rPr>
          <w:rtl/>
        </w:rPr>
      </w:pPr>
    </w:p>
    <w:p w:rsidR="003549D7" w:rsidRDefault="003549D7" w:rsidP="00F24A78">
      <w:pPr>
        <w:pStyle w:val="4"/>
        <w:rPr>
          <w:rtl/>
        </w:rPr>
      </w:pPr>
      <w:bookmarkStart w:id="4" w:name="_Toc139532068"/>
      <w:r>
        <w:rPr>
          <w:rFonts w:hint="cs"/>
          <w:rtl/>
        </w:rPr>
        <w:t>מטרת התקנות המוצעות והצורך בהן</w:t>
      </w:r>
      <w:bookmarkEnd w:id="4"/>
      <w:r>
        <w:rPr>
          <w:rFonts w:hint="cs"/>
          <w:rtl/>
        </w:rPr>
        <w:t xml:space="preserve"> </w:t>
      </w:r>
    </w:p>
    <w:p w:rsidR="006D0195" w:rsidRDefault="006D0195" w:rsidP="0069672B">
      <w:pPr>
        <w:spacing w:before="120" w:after="120"/>
        <w:contextualSpacing w:val="0"/>
        <w:rPr>
          <w:rFonts w:ascii="Cambria" w:eastAsia="Calibri" w:hAnsi="Cambria"/>
          <w:spacing w:val="1"/>
          <w:rtl/>
        </w:rPr>
      </w:pPr>
      <w:r w:rsidRPr="000D2197">
        <w:rPr>
          <w:rFonts w:ascii="Cambria" w:eastAsia="Calibri" w:hAnsi="Cambria" w:hint="cs"/>
          <w:spacing w:val="1"/>
          <w:rtl/>
        </w:rPr>
        <w:t>כיום מותר למנהלי קרנות, ככלל, לקנות ולהחזיק ניירות ערך הרשומים למסחר בבורסה. לצד זה, רשאים מנהלי הקרנות להחזיק נכסים שאינם נסחרים</w:t>
      </w:r>
      <w:r>
        <w:rPr>
          <w:rFonts w:ascii="Cambria" w:eastAsia="Calibri" w:hAnsi="Cambria" w:hint="cs"/>
          <w:spacing w:val="1"/>
          <w:rtl/>
        </w:rPr>
        <w:t xml:space="preserve"> (עד 10% משווי נכסי הקרן)</w:t>
      </w:r>
      <w:r w:rsidRPr="000D2197">
        <w:rPr>
          <w:rFonts w:ascii="Cambria" w:eastAsia="Calibri" w:hAnsi="Cambria" w:hint="cs"/>
          <w:spacing w:val="1"/>
          <w:rtl/>
        </w:rPr>
        <w:t xml:space="preserve"> כגון זכויות והתחייבויות לפי עסקאות החלף (</w:t>
      </w:r>
      <w:r w:rsidRPr="000D2197">
        <w:rPr>
          <w:rFonts w:ascii="Cambria" w:eastAsia="Calibri" w:hAnsi="Cambria" w:hint="cs"/>
          <w:spacing w:val="1"/>
        </w:rPr>
        <w:t>SWAP</w:t>
      </w:r>
      <w:r w:rsidRPr="000D2197">
        <w:rPr>
          <w:rFonts w:ascii="Cambria" w:eastAsia="Calibri" w:hAnsi="Cambria" w:hint="cs"/>
          <w:spacing w:val="1"/>
          <w:rtl/>
        </w:rPr>
        <w:t>) חוזי אקדמה (</w:t>
      </w:r>
      <w:r w:rsidRPr="000D2197">
        <w:rPr>
          <w:rFonts w:ascii="Cambria" w:eastAsia="Calibri" w:hAnsi="Cambria" w:hint="cs"/>
          <w:spacing w:val="1"/>
        </w:rPr>
        <w:t>FORWARD</w:t>
      </w:r>
      <w:r w:rsidRPr="000D2197">
        <w:rPr>
          <w:rFonts w:ascii="Cambria" w:eastAsia="Calibri" w:hAnsi="Cambria" w:hint="cs"/>
          <w:spacing w:val="1"/>
          <w:rtl/>
        </w:rPr>
        <w:t xml:space="preserve">), אופציות וחוזים עתידיים או אגרות חוב הרשומות </w:t>
      </w:r>
      <w:r>
        <w:rPr>
          <w:rFonts w:ascii="Cambria" w:eastAsia="Calibri" w:hAnsi="Cambria" w:hint="cs"/>
          <w:spacing w:val="1"/>
          <w:rtl/>
        </w:rPr>
        <w:t>ברצף המוסדיים</w:t>
      </w:r>
      <w:r w:rsidRPr="000D2197">
        <w:rPr>
          <w:rFonts w:ascii="Cambria" w:eastAsia="Calibri" w:hAnsi="Cambria" w:hint="cs"/>
          <w:spacing w:val="1"/>
          <w:rtl/>
        </w:rPr>
        <w:t>, ובלבד שהתקיימו בהן התנאים הקבועים ב</w:t>
      </w:r>
      <w:r w:rsidRPr="000D2197">
        <w:rPr>
          <w:rFonts w:ascii="Cambria" w:eastAsia="Calibri" w:hAnsi="Cambria"/>
          <w:spacing w:val="1"/>
          <w:rtl/>
        </w:rPr>
        <w:t xml:space="preserve">תקנות השקעות משותפות בנאמנות (נכסים שמותר לקנות ולהחזיק בקרן ושיעוריהם המרביים), </w:t>
      </w:r>
      <w:r w:rsidRPr="000D2197">
        <w:rPr>
          <w:rFonts w:ascii="Cambria" w:eastAsia="Calibri" w:hAnsi="Cambria" w:hint="cs"/>
          <w:spacing w:val="1"/>
          <w:rtl/>
        </w:rPr>
        <w:t>ה</w:t>
      </w:r>
      <w:r w:rsidRPr="000D2197">
        <w:rPr>
          <w:rFonts w:ascii="Cambria" w:eastAsia="Calibri" w:hAnsi="Cambria"/>
          <w:spacing w:val="1"/>
          <w:rtl/>
        </w:rPr>
        <w:t>תשנ"ה</w:t>
      </w:r>
      <w:r w:rsidRPr="000D2197">
        <w:rPr>
          <w:rFonts w:ascii="Cambria" w:eastAsia="Calibri" w:hAnsi="Cambria" w:hint="cs"/>
          <w:spacing w:val="1"/>
          <w:rtl/>
        </w:rPr>
        <w:t>-</w:t>
      </w:r>
      <w:r w:rsidRPr="000D2197">
        <w:rPr>
          <w:rFonts w:ascii="Cambria" w:eastAsia="Calibri" w:hAnsi="Cambria"/>
          <w:spacing w:val="1"/>
          <w:rtl/>
        </w:rPr>
        <w:t>1994</w:t>
      </w:r>
      <w:r w:rsidRPr="000D2197">
        <w:rPr>
          <w:rFonts w:ascii="Cambria" w:eastAsia="Calibri" w:hAnsi="Cambria" w:hint="cs"/>
          <w:spacing w:val="1"/>
          <w:rtl/>
        </w:rPr>
        <w:t xml:space="preserve"> (להלן </w:t>
      </w:r>
      <w:r w:rsidRPr="000D2197">
        <w:rPr>
          <w:rFonts w:ascii="Cambria" w:eastAsia="Calibri" w:hAnsi="Cambria"/>
          <w:spacing w:val="1"/>
          <w:rtl/>
        </w:rPr>
        <w:t>–</w:t>
      </w:r>
      <w:r w:rsidRPr="000D2197">
        <w:rPr>
          <w:rFonts w:ascii="Cambria" w:eastAsia="Calibri" w:hAnsi="Cambria" w:hint="cs"/>
          <w:spacing w:val="1"/>
          <w:rtl/>
        </w:rPr>
        <w:t xml:space="preserve"> </w:t>
      </w:r>
      <w:r w:rsidRPr="007937FB">
        <w:rPr>
          <w:rFonts w:ascii="Cambria" w:eastAsia="Calibri" w:hAnsi="Cambria" w:hint="cs"/>
          <w:b/>
          <w:bCs/>
          <w:spacing w:val="1"/>
          <w:rtl/>
        </w:rPr>
        <w:t>התקנות</w:t>
      </w:r>
      <w:r w:rsidRPr="000D2197">
        <w:rPr>
          <w:rFonts w:ascii="Cambria" w:eastAsia="Calibri" w:hAnsi="Cambria" w:hint="cs"/>
          <w:spacing w:val="1"/>
          <w:rtl/>
        </w:rPr>
        <w:t>)</w:t>
      </w:r>
      <w:r w:rsidRPr="000D2197" w:rsidDel="00853F68">
        <w:rPr>
          <w:rFonts w:ascii="Cambria" w:eastAsia="Calibri" w:hAnsi="Cambria" w:hint="cs"/>
          <w:spacing w:val="1"/>
          <w:rtl/>
        </w:rPr>
        <w:t xml:space="preserve"> </w:t>
      </w:r>
      <w:r w:rsidRPr="000D2197">
        <w:rPr>
          <w:rFonts w:ascii="Cambria" w:eastAsia="Calibri" w:hAnsi="Cambria" w:hint="cs"/>
          <w:spacing w:val="1"/>
          <w:rtl/>
        </w:rPr>
        <w:t xml:space="preserve"> ובהם, בין היתר, מגבלות לעניין דירוג אגרת החוב; היות אגרת החוב בלתי המירה ועוד. מגבלת ההשקעה ברצף המוסדיים באגרות חוב בלבד נבעה מההגבלה שהייתה קיימת ברצף המוסדיים לפיה לא ניתן היה לסחור בו במניות. לאור החלטת רשות</w:t>
      </w:r>
      <w:r w:rsidR="00884231">
        <w:rPr>
          <w:rFonts w:ascii="Cambria" w:eastAsia="Calibri" w:hAnsi="Cambria" w:hint="cs"/>
          <w:spacing w:val="1"/>
          <w:rtl/>
        </w:rPr>
        <w:t xml:space="preserve"> ניירות ערך</w:t>
      </w:r>
      <w:r w:rsidRPr="000D2197">
        <w:rPr>
          <w:rFonts w:ascii="Cambria" w:eastAsia="Calibri" w:hAnsi="Cambria" w:hint="cs"/>
          <w:spacing w:val="1"/>
          <w:rtl/>
        </w:rPr>
        <w:t xml:space="preserve"> </w:t>
      </w:r>
      <w:r w:rsidR="00884231">
        <w:rPr>
          <w:rFonts w:ascii="Cambria" w:eastAsia="Calibri" w:hAnsi="Cambria" w:hint="cs"/>
          <w:spacing w:val="1"/>
          <w:rtl/>
        </w:rPr>
        <w:t xml:space="preserve">(להלן </w:t>
      </w:r>
      <w:r w:rsidR="00884231">
        <w:rPr>
          <w:rFonts w:ascii="Cambria" w:eastAsia="Calibri" w:hAnsi="Cambria"/>
          <w:spacing w:val="1"/>
          <w:rtl/>
        </w:rPr>
        <w:t>–</w:t>
      </w:r>
      <w:r w:rsidR="00884231">
        <w:rPr>
          <w:rFonts w:ascii="Cambria" w:eastAsia="Calibri" w:hAnsi="Cambria" w:hint="cs"/>
          <w:spacing w:val="1"/>
          <w:rtl/>
        </w:rPr>
        <w:t xml:space="preserve"> </w:t>
      </w:r>
      <w:r w:rsidR="00884231" w:rsidRPr="00884231">
        <w:rPr>
          <w:rFonts w:ascii="Cambria" w:eastAsia="Calibri" w:hAnsi="Cambria" w:hint="cs"/>
          <w:b/>
          <w:bCs/>
          <w:spacing w:val="1"/>
          <w:rtl/>
        </w:rPr>
        <w:t>הרשות</w:t>
      </w:r>
      <w:r w:rsidR="00884231">
        <w:rPr>
          <w:rFonts w:ascii="Cambria" w:eastAsia="Calibri" w:hAnsi="Cambria" w:hint="cs"/>
          <w:spacing w:val="1"/>
          <w:rtl/>
        </w:rPr>
        <w:t xml:space="preserve">) </w:t>
      </w:r>
      <w:r w:rsidRPr="000D2197">
        <w:rPr>
          <w:rFonts w:ascii="Cambria" w:eastAsia="Calibri" w:hAnsi="Cambria" w:hint="cs"/>
          <w:spacing w:val="1"/>
          <w:rtl/>
        </w:rPr>
        <w:t xml:space="preserve">בעניין </w:t>
      </w:r>
      <w:r w:rsidRPr="000D2197">
        <w:rPr>
          <w:rFonts w:ascii="Calibri" w:eastAsia="Calibri" w:hAnsi="Calibri" w:hint="cs"/>
          <w:rtl/>
        </w:rPr>
        <w:t xml:space="preserve">הרחבה וגיוון של ניירות הערך הנסחרים </w:t>
      </w:r>
      <w:r w:rsidRPr="000D2197">
        <w:rPr>
          <w:rFonts w:ascii="Cambria" w:eastAsia="Calibri" w:hAnsi="Cambria" w:hint="cs"/>
          <w:spacing w:val="1"/>
          <w:rtl/>
        </w:rPr>
        <w:t>ברצף המוסדיים</w:t>
      </w:r>
      <w:r>
        <w:rPr>
          <w:rFonts w:ascii="Cambria" w:eastAsia="Calibri" w:hAnsi="Cambria" w:hint="cs"/>
          <w:spacing w:val="1"/>
          <w:rtl/>
        </w:rPr>
        <w:t>,</w:t>
      </w:r>
      <w:r w:rsidRPr="000D2197">
        <w:rPr>
          <w:rFonts w:ascii="Cambria" w:eastAsia="Calibri" w:hAnsi="Cambria" w:hint="cs"/>
          <w:spacing w:val="1"/>
          <w:rtl/>
        </w:rPr>
        <w:t xml:space="preserve"> </w:t>
      </w:r>
      <w:r>
        <w:rPr>
          <w:rFonts w:ascii="Cambria" w:eastAsia="Calibri" w:hAnsi="Cambria" w:hint="cs"/>
          <w:spacing w:val="1"/>
          <w:rtl/>
        </w:rPr>
        <w:t>וכחלק מעידוד ופיתוח שוק ההון בישראל,</w:t>
      </w:r>
      <w:r w:rsidR="00884231">
        <w:rPr>
          <w:rFonts w:ascii="Cambria" w:eastAsia="Calibri" w:hAnsi="Cambria" w:hint="cs"/>
          <w:spacing w:val="1"/>
          <w:rtl/>
        </w:rPr>
        <w:t xml:space="preserve"> </w:t>
      </w:r>
      <w:r w:rsidR="00884231" w:rsidRPr="000D2197">
        <w:rPr>
          <w:rFonts w:ascii="Cambria" w:eastAsia="Calibri" w:hAnsi="Cambria" w:hint="cs"/>
          <w:spacing w:val="1"/>
          <w:rtl/>
        </w:rPr>
        <w:t xml:space="preserve">קבעה הרשות כללים לעניין זה בהוראה זמנית מכוח סעיף 65א לחוק השקעות משותפות בנאמנות, התשנ"ד-1994, </w:t>
      </w:r>
      <w:r w:rsidR="00884231">
        <w:rPr>
          <w:rFonts w:ascii="Cambria" w:eastAsia="Calibri" w:hAnsi="Cambria" w:hint="cs"/>
          <w:spacing w:val="1"/>
          <w:rtl/>
        </w:rPr>
        <w:t xml:space="preserve">שנכנסה לתוקף </w:t>
      </w:r>
      <w:r w:rsidR="00884231" w:rsidRPr="000D2197">
        <w:rPr>
          <w:rFonts w:ascii="Cambria" w:eastAsia="Calibri" w:hAnsi="Cambria" w:hint="cs"/>
          <w:spacing w:val="1"/>
          <w:rtl/>
        </w:rPr>
        <w:t>ביום</w:t>
      </w:r>
      <w:r w:rsidR="00884231">
        <w:rPr>
          <w:rFonts w:ascii="Cambria" w:eastAsia="Calibri" w:hAnsi="Cambria" w:hint="cs"/>
          <w:spacing w:val="1"/>
          <w:rtl/>
        </w:rPr>
        <w:t xml:space="preserve"> 11.10.2020 ותוקפה פג ביום 11.4.2023. מכיוון ש</w:t>
      </w:r>
      <w:r w:rsidR="00884231" w:rsidRPr="000D2197">
        <w:rPr>
          <w:rFonts w:eastAsia="MS Mincho"/>
          <w:spacing w:val="1"/>
          <w:shd w:val="clear" w:color="auto" w:fill="FFFFFF"/>
          <w:rtl/>
        </w:rPr>
        <w:t xml:space="preserve">בזמן שחלף מיום תחילת ההוראה הזמנית </w:t>
      </w:r>
      <w:r w:rsidR="00884231">
        <w:rPr>
          <w:rFonts w:eastAsia="MS Mincho" w:hint="cs"/>
          <w:spacing w:val="1"/>
          <w:shd w:val="clear" w:color="auto" w:fill="FFFFFF"/>
          <w:rtl/>
        </w:rPr>
        <w:t>לא זוהתה</w:t>
      </w:r>
      <w:r w:rsidR="00884231" w:rsidRPr="000D2197">
        <w:rPr>
          <w:rFonts w:eastAsia="MS Mincho"/>
          <w:spacing w:val="1"/>
          <w:shd w:val="clear" w:color="auto" w:fill="FFFFFF"/>
          <w:rtl/>
        </w:rPr>
        <w:t xml:space="preserve"> התפתחות היוצרת סיכון מוגבר לציבור המשקיעים כתוצאה מהרחבת האפשרות לרכישת ניירות ערך הנסחרים ברצף המוסדיים לסוגי ניירות ערך חדשים</w:t>
      </w:r>
      <w:r w:rsidR="00884231">
        <w:rPr>
          <w:rFonts w:eastAsia="MS Mincho" w:hint="cs"/>
          <w:spacing w:val="1"/>
          <w:shd w:val="clear" w:color="auto" w:fill="FFFFFF"/>
          <w:rtl/>
        </w:rPr>
        <w:t>, מוצע</w:t>
      </w:r>
      <w:r w:rsidR="00884231" w:rsidRPr="000D2197">
        <w:rPr>
          <w:rFonts w:eastAsia="MS Mincho"/>
          <w:spacing w:val="1"/>
          <w:shd w:val="clear" w:color="auto" w:fill="FFFFFF"/>
          <w:rtl/>
        </w:rPr>
        <w:t xml:space="preserve"> </w:t>
      </w:r>
      <w:r w:rsidR="00884231">
        <w:rPr>
          <w:rFonts w:ascii="Cambria" w:eastAsia="Calibri" w:hAnsi="Cambria" w:hint="cs"/>
          <w:spacing w:val="1"/>
          <w:rtl/>
        </w:rPr>
        <w:t xml:space="preserve">לעגן את הכללים שנקבעו בהוראה הזמנית בתקנות קבועות. </w:t>
      </w:r>
    </w:p>
    <w:p w:rsidR="003549D7" w:rsidRDefault="003549D7" w:rsidP="00722C14">
      <w:pPr>
        <w:rPr>
          <w:rtl/>
        </w:rPr>
      </w:pPr>
    </w:p>
    <w:p w:rsidR="003549D7" w:rsidRDefault="003549D7" w:rsidP="00722C14">
      <w:pPr>
        <w:rPr>
          <w:rtl/>
        </w:rPr>
      </w:pPr>
    </w:p>
    <w:p w:rsidR="003549D7" w:rsidRDefault="003549D7" w:rsidP="00F24A78">
      <w:pPr>
        <w:pStyle w:val="4"/>
      </w:pPr>
      <w:bookmarkStart w:id="5" w:name="_Toc139532069"/>
      <w:r>
        <w:rPr>
          <w:rFonts w:hint="cs"/>
          <w:rtl/>
        </w:rPr>
        <w:t>להלן נוסח טיוטת התקנות המוצעות:</w:t>
      </w:r>
      <w:bookmarkEnd w:id="5"/>
      <w:r>
        <w:rPr>
          <w:rFonts w:hint="cs"/>
          <w:rtl/>
        </w:rPr>
        <w:t xml:space="preserve"> </w:t>
      </w:r>
    </w:p>
    <w:p w:rsidR="003549D7" w:rsidRDefault="003549D7" w:rsidP="00722C14">
      <w:pPr>
        <w:bidi w:val="0"/>
        <w:rPr>
          <w:rtl/>
        </w:rPr>
      </w:pPr>
      <w:r>
        <w:rPr>
          <w:rtl/>
        </w:rPr>
        <w:br w:type="page"/>
      </w:r>
    </w:p>
    <w:p w:rsidR="003549D7" w:rsidRDefault="003549D7" w:rsidP="00722C14">
      <w:pPr>
        <w:pStyle w:val="HeadMitparsemetBaze"/>
        <w:keepNext w:val="0"/>
        <w:keepLines w:val="0"/>
        <w:pageBreakBefore w:val="0"/>
        <w:rPr>
          <w:rtl/>
        </w:rPr>
      </w:pPr>
      <w:r>
        <w:rPr>
          <w:rtl/>
        </w:rPr>
        <w:lastRenderedPageBreak/>
        <w:t>טיוטת תקנות מטעם משרד</w:t>
      </w:r>
      <w:r>
        <w:rPr>
          <w:rFonts w:hint="cs"/>
          <w:rtl/>
        </w:rPr>
        <w:t xml:space="preserve"> האוצר</w:t>
      </w:r>
      <w:r>
        <w:rPr>
          <w:rtl/>
        </w:rPr>
        <w:t xml:space="preserve">: </w:t>
      </w:r>
    </w:p>
    <w:p w:rsidR="003549D7" w:rsidRDefault="003549D7" w:rsidP="00722C14">
      <w:pPr>
        <w:pStyle w:val="HeadHatzaotHok"/>
        <w:keepNext w:val="0"/>
        <w:keepLines w:val="0"/>
        <w:rPr>
          <w:rtl/>
        </w:rPr>
      </w:pPr>
      <w:bookmarkStart w:id="6" w:name="_Toc139532048"/>
      <w:bookmarkStart w:id="7" w:name="_Toc139532070"/>
      <w:r>
        <w:rPr>
          <w:rtl/>
        </w:rPr>
        <w:t xml:space="preserve">טיוטת תקנות </w:t>
      </w:r>
      <w:r w:rsidRPr="00BF2ABE">
        <w:rPr>
          <w:rFonts w:ascii="David" w:eastAsia="Times New Roman" w:hAnsi="David"/>
          <w:sz w:val="26"/>
          <w:rtl/>
          <w:lang w:eastAsia="he-IL"/>
        </w:rPr>
        <w:t>השקעות</w:t>
      </w:r>
      <w:r w:rsidRPr="003549D7">
        <w:rPr>
          <w:rFonts w:ascii="David" w:eastAsia="Times New Roman" w:hAnsi="David"/>
          <w:sz w:val="24"/>
          <w:szCs w:val="24"/>
          <w:rtl/>
          <w:lang w:eastAsia="he-IL"/>
        </w:rPr>
        <w:t xml:space="preserve"> </w:t>
      </w:r>
      <w:r w:rsidRPr="00BF2ABE">
        <w:rPr>
          <w:rFonts w:ascii="David" w:eastAsia="Times New Roman" w:hAnsi="David"/>
          <w:sz w:val="26"/>
          <w:rtl/>
          <w:lang w:eastAsia="he-IL"/>
        </w:rPr>
        <w:t>משותפות בנאמנות (נכסים שמותר לקנות ולהחזיק בקרן ושיעוריהם המרביים),</w:t>
      </w:r>
      <w:r w:rsidRPr="003549D7">
        <w:rPr>
          <w:rFonts w:ascii="David" w:eastAsia="Times New Roman" w:hAnsi="David"/>
          <w:sz w:val="24"/>
          <w:szCs w:val="24"/>
          <w:rtl/>
          <w:lang w:eastAsia="he-IL"/>
        </w:rPr>
        <w:t xml:space="preserve"> </w:t>
      </w:r>
      <w:r>
        <w:rPr>
          <w:rtl/>
        </w:rPr>
        <w:t>(תיקון מס'...)</w:t>
      </w:r>
      <w:r>
        <w:rPr>
          <w:rFonts w:ascii="David" w:eastAsia="Times New Roman" w:hAnsi="David" w:hint="cs"/>
          <w:sz w:val="24"/>
          <w:szCs w:val="24"/>
          <w:rtl/>
          <w:lang w:eastAsia="he-IL"/>
        </w:rPr>
        <w:t xml:space="preserve"> </w:t>
      </w:r>
      <w:r>
        <w:rPr>
          <w:rFonts w:hint="cs"/>
          <w:rtl/>
        </w:rPr>
        <w:t>התשפ"ג-202</w:t>
      </w:r>
      <w:r w:rsidR="001A6C2C">
        <w:rPr>
          <w:rFonts w:hint="cs"/>
          <w:rtl/>
        </w:rPr>
        <w:t>3</w:t>
      </w:r>
      <w:bookmarkEnd w:id="6"/>
      <w:bookmarkEnd w:id="7"/>
    </w:p>
    <w:tbl>
      <w:tblPr>
        <w:bidiVisual/>
        <w:tblW w:w="0"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5898"/>
      </w:tblGrid>
      <w:tr w:rsidR="003549D7" w:rsidTr="00722C14">
        <w:trPr>
          <w:cantSplit/>
          <w:trHeight w:val="60"/>
        </w:trPr>
        <w:tc>
          <w:tcPr>
            <w:tcW w:w="1871" w:type="dxa"/>
          </w:tcPr>
          <w:p w:rsidR="003549D7" w:rsidRDefault="003549D7">
            <w:pPr>
              <w:pStyle w:val="TableSideHeading"/>
              <w:rPr>
                <w:rtl/>
              </w:rPr>
            </w:pPr>
          </w:p>
        </w:tc>
        <w:tc>
          <w:tcPr>
            <w:tcW w:w="624" w:type="dxa"/>
          </w:tcPr>
          <w:p w:rsidR="003549D7" w:rsidRDefault="003549D7">
            <w:pPr>
              <w:pStyle w:val="TableText"/>
            </w:pPr>
          </w:p>
        </w:tc>
        <w:tc>
          <w:tcPr>
            <w:tcW w:w="7146" w:type="dxa"/>
            <w:gridSpan w:val="3"/>
            <w:hideMark/>
          </w:tcPr>
          <w:p w:rsidR="003549D7" w:rsidRPr="00E233D9" w:rsidRDefault="003549D7">
            <w:pPr>
              <w:pStyle w:val="TableBlock"/>
              <w:rPr>
                <w:rFonts w:ascii="David" w:hAnsi="David"/>
              </w:rPr>
            </w:pPr>
            <w:r w:rsidRPr="00E233D9">
              <w:rPr>
                <w:rFonts w:ascii="David" w:hAnsi="David"/>
                <w:color w:val="000000"/>
                <w:sz w:val="26"/>
              </w:rPr>
              <w:t> </w:t>
            </w:r>
            <w:r w:rsidRPr="00E233D9">
              <w:rPr>
                <w:rStyle w:val="default"/>
                <w:rFonts w:ascii="David" w:hAnsi="David"/>
                <w:color w:val="000000"/>
                <w:sz w:val="26"/>
                <w:rtl/>
              </w:rPr>
              <w:t>בתוקף סמכותי לפי סעיף 59, 62(א) ו-131(א) לחוק השקעות משותפות בנאמנות, תשנ"ד-1994 (להלן – החוק)</w:t>
            </w:r>
            <w:r w:rsidR="00BF2ABE">
              <w:rPr>
                <w:rStyle w:val="a7"/>
                <w:rFonts w:ascii="David" w:hAnsi="David"/>
                <w:color w:val="000000"/>
                <w:sz w:val="26"/>
                <w:rtl/>
              </w:rPr>
              <w:footnoteReference w:id="1"/>
            </w:r>
            <w:r w:rsidRPr="00E233D9">
              <w:rPr>
                <w:rStyle w:val="default"/>
                <w:rFonts w:ascii="David" w:hAnsi="David"/>
                <w:color w:val="000000"/>
                <w:sz w:val="26"/>
                <w:rtl/>
              </w:rPr>
              <w:t>, לפי הצעת הרשות ובאישור ועדת הכספים של הכנסת</w:t>
            </w:r>
            <w:r w:rsidR="00E233D9">
              <w:rPr>
                <w:rFonts w:ascii="David" w:hAnsi="David" w:hint="cs"/>
                <w:rtl/>
              </w:rPr>
              <w:t>, אני מתקין תקנות אלה:</w:t>
            </w:r>
          </w:p>
        </w:tc>
      </w:tr>
      <w:tr w:rsidR="003549D7" w:rsidTr="00722C14">
        <w:trPr>
          <w:cantSplit/>
          <w:trHeight w:val="60"/>
        </w:trPr>
        <w:tc>
          <w:tcPr>
            <w:tcW w:w="1871" w:type="dxa"/>
          </w:tcPr>
          <w:p w:rsidR="003549D7" w:rsidRDefault="003549D7">
            <w:pPr>
              <w:pStyle w:val="TableSideHeading"/>
            </w:pPr>
          </w:p>
        </w:tc>
        <w:tc>
          <w:tcPr>
            <w:tcW w:w="624" w:type="dxa"/>
          </w:tcPr>
          <w:p w:rsidR="003549D7" w:rsidRDefault="003549D7">
            <w:pPr>
              <w:pStyle w:val="TableText"/>
            </w:pPr>
          </w:p>
        </w:tc>
        <w:tc>
          <w:tcPr>
            <w:tcW w:w="7146" w:type="dxa"/>
            <w:gridSpan w:val="3"/>
          </w:tcPr>
          <w:p w:rsidR="003549D7" w:rsidRDefault="003549D7">
            <w:pPr>
              <w:pStyle w:val="TableHead"/>
            </w:pPr>
          </w:p>
        </w:tc>
      </w:tr>
      <w:tr w:rsidR="003549D7" w:rsidTr="00722C14">
        <w:trPr>
          <w:cantSplit/>
          <w:trHeight w:val="60"/>
        </w:trPr>
        <w:tc>
          <w:tcPr>
            <w:tcW w:w="1871" w:type="dxa"/>
          </w:tcPr>
          <w:p w:rsidR="003549D7" w:rsidRDefault="005E3A8B">
            <w:pPr>
              <w:pStyle w:val="TableSideHeading"/>
            </w:pPr>
            <w:bookmarkStart w:id="8" w:name="_Toc139532049"/>
            <w:bookmarkStart w:id="9" w:name="_Toc139532071"/>
            <w:r>
              <w:rPr>
                <w:rFonts w:hint="cs"/>
                <w:rtl/>
              </w:rPr>
              <w:t>תיקון תקנה 1</w:t>
            </w:r>
            <w:bookmarkEnd w:id="8"/>
            <w:bookmarkEnd w:id="9"/>
          </w:p>
        </w:tc>
        <w:tc>
          <w:tcPr>
            <w:tcW w:w="624" w:type="dxa"/>
          </w:tcPr>
          <w:p w:rsidR="003549D7" w:rsidRDefault="003549D7" w:rsidP="003549D7">
            <w:pPr>
              <w:pStyle w:val="TableText"/>
              <w:numPr>
                <w:ilvl w:val="0"/>
                <w:numId w:val="2"/>
              </w:numPr>
            </w:pPr>
          </w:p>
        </w:tc>
        <w:tc>
          <w:tcPr>
            <w:tcW w:w="7146" w:type="dxa"/>
            <w:gridSpan w:val="3"/>
          </w:tcPr>
          <w:p w:rsidR="003549D7" w:rsidRPr="00543F86" w:rsidRDefault="009F37D3">
            <w:pPr>
              <w:pStyle w:val="TableBlock"/>
              <w:rPr>
                <w:sz w:val="26"/>
              </w:rPr>
            </w:pPr>
            <w:r w:rsidRPr="00543F86">
              <w:rPr>
                <w:sz w:val="26"/>
                <w:rtl/>
              </w:rPr>
              <w:t xml:space="preserve">בתקנות השקעות משותפות בנאמנות </w:t>
            </w:r>
            <w:r w:rsidR="00543F86" w:rsidRPr="00543F86">
              <w:rPr>
                <w:rFonts w:ascii="David" w:eastAsia="Times New Roman" w:hAnsi="David"/>
                <w:sz w:val="26"/>
                <w:rtl/>
                <w:lang w:eastAsia="he-IL"/>
              </w:rPr>
              <w:t>(נכסים שמותר לקנות ולהחזיק בקרן ושיעוריהם המרביים)</w:t>
            </w:r>
            <w:r w:rsidR="00543F86" w:rsidRPr="00543F86">
              <w:rPr>
                <w:rFonts w:ascii="David" w:eastAsia="Times New Roman" w:hAnsi="David" w:hint="cs"/>
                <w:sz w:val="26"/>
                <w:rtl/>
                <w:lang w:eastAsia="he-IL"/>
              </w:rPr>
              <w:t xml:space="preserve"> </w:t>
            </w:r>
            <w:proofErr w:type="spellStart"/>
            <w:r w:rsidR="00543F86" w:rsidRPr="00543F86">
              <w:rPr>
                <w:rFonts w:ascii="David" w:eastAsia="Times New Roman" w:hAnsi="David" w:hint="cs"/>
                <w:sz w:val="26"/>
                <w:rtl/>
                <w:lang w:eastAsia="he-IL"/>
              </w:rPr>
              <w:t>התשנ"ה</w:t>
            </w:r>
            <w:proofErr w:type="spellEnd"/>
            <w:r w:rsidR="00543F86" w:rsidRPr="00543F86">
              <w:rPr>
                <w:rFonts w:ascii="David" w:eastAsia="Times New Roman" w:hAnsi="David" w:hint="cs"/>
                <w:sz w:val="26"/>
                <w:rtl/>
                <w:lang w:eastAsia="he-IL"/>
              </w:rPr>
              <w:t xml:space="preserve"> </w:t>
            </w:r>
            <w:r w:rsidR="00543F86">
              <w:rPr>
                <w:rFonts w:ascii="David" w:eastAsia="Times New Roman" w:hAnsi="David"/>
                <w:sz w:val="26"/>
                <w:rtl/>
                <w:lang w:eastAsia="he-IL"/>
              </w:rPr>
              <w:t>–</w:t>
            </w:r>
            <w:r w:rsidR="00543F86" w:rsidRPr="00543F86">
              <w:rPr>
                <w:rFonts w:ascii="David" w:eastAsia="Times New Roman" w:hAnsi="David" w:hint="cs"/>
                <w:sz w:val="26"/>
                <w:rtl/>
                <w:lang w:eastAsia="he-IL"/>
              </w:rPr>
              <w:t xml:space="preserve"> 1994</w:t>
            </w:r>
            <w:r w:rsidR="0084561C">
              <w:rPr>
                <w:rFonts w:hint="cs"/>
                <w:sz w:val="26"/>
                <w:rtl/>
              </w:rPr>
              <w:t xml:space="preserve"> (להלן </w:t>
            </w:r>
            <w:r w:rsidR="0084561C">
              <w:rPr>
                <w:sz w:val="26"/>
                <w:rtl/>
              </w:rPr>
              <w:t>–</w:t>
            </w:r>
            <w:r w:rsidR="0084561C">
              <w:rPr>
                <w:rFonts w:hint="cs"/>
                <w:sz w:val="26"/>
                <w:rtl/>
              </w:rPr>
              <w:t xml:space="preserve"> התקנות העיקריות)</w:t>
            </w:r>
            <w:r w:rsidR="00BF2ABE">
              <w:rPr>
                <w:rStyle w:val="a7"/>
                <w:sz w:val="26"/>
                <w:rtl/>
              </w:rPr>
              <w:footnoteReference w:id="2"/>
            </w:r>
            <w:r w:rsidR="00777E8E">
              <w:rPr>
                <w:rFonts w:hint="cs"/>
                <w:sz w:val="26"/>
                <w:rtl/>
              </w:rPr>
              <w:t>, ב</w:t>
            </w:r>
            <w:r w:rsidR="0084561C">
              <w:rPr>
                <w:rFonts w:hint="cs"/>
                <w:sz w:val="26"/>
                <w:rtl/>
              </w:rPr>
              <w:t xml:space="preserve">תקנה </w:t>
            </w:r>
            <w:r w:rsidR="005E3A8B">
              <w:rPr>
                <w:rFonts w:hint="cs"/>
                <w:sz w:val="26"/>
                <w:rtl/>
              </w:rPr>
              <w:t>1, אחרי ההגדרה "משך חיים ממוצע" יבוא:</w:t>
            </w:r>
            <w:r w:rsidR="0084561C">
              <w:rPr>
                <w:rFonts w:hint="cs"/>
                <w:sz w:val="26"/>
                <w:rtl/>
              </w:rPr>
              <w:t xml:space="preserve"> </w:t>
            </w:r>
          </w:p>
        </w:tc>
      </w:tr>
      <w:tr w:rsidR="005E3A8B">
        <w:trPr>
          <w:cantSplit/>
          <w:trHeight w:val="60"/>
        </w:trPr>
        <w:tc>
          <w:tcPr>
            <w:tcW w:w="1871" w:type="dxa"/>
          </w:tcPr>
          <w:p w:rsidR="005E3A8B" w:rsidRDefault="005E3A8B">
            <w:pPr>
              <w:pStyle w:val="TableSideHeading"/>
            </w:pPr>
          </w:p>
        </w:tc>
        <w:tc>
          <w:tcPr>
            <w:tcW w:w="624" w:type="dxa"/>
          </w:tcPr>
          <w:p w:rsidR="005E3A8B" w:rsidRDefault="005E3A8B">
            <w:pPr>
              <w:pStyle w:val="TableText"/>
            </w:pPr>
          </w:p>
        </w:tc>
        <w:tc>
          <w:tcPr>
            <w:tcW w:w="624" w:type="dxa"/>
          </w:tcPr>
          <w:p w:rsidR="005E3A8B" w:rsidRDefault="005E3A8B">
            <w:pPr>
              <w:pStyle w:val="TableText"/>
            </w:pPr>
          </w:p>
        </w:tc>
        <w:tc>
          <w:tcPr>
            <w:tcW w:w="6522" w:type="dxa"/>
            <w:gridSpan w:val="2"/>
          </w:tcPr>
          <w:p w:rsidR="005E3A8B" w:rsidRPr="005E3A8B" w:rsidRDefault="005E3A8B">
            <w:pPr>
              <w:pStyle w:val="TableBlock"/>
              <w:rPr>
                <w:rFonts w:ascii="David" w:hAnsi="David"/>
              </w:rPr>
            </w:pPr>
            <w:r w:rsidRPr="005E3A8B">
              <w:rPr>
                <w:rFonts w:ascii="David" w:hAnsi="David"/>
                <w:rtl/>
              </w:rPr>
              <w:t>""נגזר" - הסכם או הסדר שערכו נגזר מערכו של נכס בסיס</w:t>
            </w:r>
            <w:r>
              <w:rPr>
                <w:rFonts w:ascii="David" w:hAnsi="David" w:hint="cs"/>
                <w:rtl/>
              </w:rPr>
              <w:t>;".</w:t>
            </w:r>
          </w:p>
        </w:tc>
      </w:tr>
      <w:tr w:rsidR="005E3A8B">
        <w:trPr>
          <w:cantSplit/>
          <w:trHeight w:val="60"/>
        </w:trPr>
        <w:tc>
          <w:tcPr>
            <w:tcW w:w="1871" w:type="dxa"/>
          </w:tcPr>
          <w:p w:rsidR="005E3A8B" w:rsidRPr="005E3A8B" w:rsidRDefault="005E3A8B" w:rsidP="007E751D">
            <w:pPr>
              <w:pStyle w:val="TableSideHeading"/>
              <w:keepLines w:val="0"/>
            </w:pPr>
            <w:bookmarkStart w:id="10" w:name="_Toc139532050"/>
            <w:bookmarkStart w:id="11" w:name="_Toc139532072"/>
            <w:r>
              <w:rPr>
                <w:rFonts w:hint="cs"/>
                <w:rtl/>
              </w:rPr>
              <w:t>תיקון תקנה 2</w:t>
            </w:r>
            <w:bookmarkEnd w:id="10"/>
            <w:bookmarkEnd w:id="11"/>
          </w:p>
        </w:tc>
        <w:tc>
          <w:tcPr>
            <w:tcW w:w="624" w:type="dxa"/>
          </w:tcPr>
          <w:p w:rsidR="005E3A8B" w:rsidRDefault="005E3A8B" w:rsidP="005E3A8B">
            <w:pPr>
              <w:pStyle w:val="TableText"/>
              <w:keepLines w:val="0"/>
              <w:numPr>
                <w:ilvl w:val="0"/>
                <w:numId w:val="4"/>
              </w:numPr>
            </w:pPr>
          </w:p>
        </w:tc>
        <w:tc>
          <w:tcPr>
            <w:tcW w:w="7146" w:type="dxa"/>
            <w:gridSpan w:val="3"/>
          </w:tcPr>
          <w:p w:rsidR="005E3A8B" w:rsidRPr="00C34DE2" w:rsidRDefault="005E3A8B" w:rsidP="007E751D">
            <w:pPr>
              <w:pStyle w:val="TableBlock"/>
              <w:keepLines w:val="0"/>
            </w:pPr>
            <w:r>
              <w:rPr>
                <w:rFonts w:hint="cs"/>
                <w:rtl/>
              </w:rPr>
              <w:t>בתקנה 2 לתקנות העיקריות -</w:t>
            </w:r>
          </w:p>
        </w:tc>
      </w:tr>
      <w:tr w:rsidR="00172480">
        <w:trPr>
          <w:cantSplit/>
          <w:trHeight w:val="60"/>
        </w:trPr>
        <w:tc>
          <w:tcPr>
            <w:tcW w:w="1871" w:type="dxa"/>
          </w:tcPr>
          <w:p w:rsidR="00172480" w:rsidRDefault="00172480">
            <w:pPr>
              <w:pStyle w:val="TableSideHeading"/>
            </w:pPr>
          </w:p>
        </w:tc>
        <w:tc>
          <w:tcPr>
            <w:tcW w:w="624" w:type="dxa"/>
          </w:tcPr>
          <w:p w:rsidR="00172480" w:rsidRDefault="00172480">
            <w:pPr>
              <w:pStyle w:val="TableText"/>
            </w:pPr>
          </w:p>
        </w:tc>
        <w:tc>
          <w:tcPr>
            <w:tcW w:w="624" w:type="dxa"/>
          </w:tcPr>
          <w:p w:rsidR="00172480" w:rsidRDefault="00172480">
            <w:pPr>
              <w:pStyle w:val="TableText"/>
            </w:pPr>
          </w:p>
        </w:tc>
        <w:tc>
          <w:tcPr>
            <w:tcW w:w="6522" w:type="dxa"/>
            <w:gridSpan w:val="2"/>
          </w:tcPr>
          <w:p w:rsidR="00172480" w:rsidRDefault="00172480" w:rsidP="00172480">
            <w:pPr>
              <w:pStyle w:val="TableBlock"/>
              <w:numPr>
                <w:ilvl w:val="0"/>
                <w:numId w:val="20"/>
              </w:numPr>
              <w:tabs>
                <w:tab w:val="left" w:pos="624"/>
              </w:tabs>
            </w:pPr>
            <w:r>
              <w:rPr>
                <w:rFonts w:hint="cs"/>
                <w:sz w:val="26"/>
                <w:rtl/>
              </w:rPr>
              <w:t>במקום תקנת משנה (6) יבוא:</w:t>
            </w:r>
          </w:p>
        </w:tc>
      </w:tr>
      <w:tr w:rsidR="00172480">
        <w:trPr>
          <w:cantSplit/>
          <w:trHeight w:val="60"/>
        </w:trPr>
        <w:tc>
          <w:tcPr>
            <w:tcW w:w="1871" w:type="dxa"/>
          </w:tcPr>
          <w:p w:rsidR="00172480" w:rsidRDefault="00172480">
            <w:pPr>
              <w:pStyle w:val="TableSideHeading"/>
            </w:pPr>
          </w:p>
        </w:tc>
        <w:tc>
          <w:tcPr>
            <w:tcW w:w="624" w:type="dxa"/>
          </w:tcPr>
          <w:p w:rsidR="00172480" w:rsidRDefault="00172480">
            <w:pPr>
              <w:pStyle w:val="TableText"/>
            </w:pPr>
          </w:p>
        </w:tc>
        <w:tc>
          <w:tcPr>
            <w:tcW w:w="624" w:type="dxa"/>
          </w:tcPr>
          <w:p w:rsidR="00172480" w:rsidRDefault="00172480">
            <w:pPr>
              <w:pStyle w:val="TableText"/>
            </w:pPr>
          </w:p>
        </w:tc>
        <w:tc>
          <w:tcPr>
            <w:tcW w:w="624" w:type="dxa"/>
          </w:tcPr>
          <w:p w:rsidR="00172480" w:rsidRDefault="00172480">
            <w:pPr>
              <w:pStyle w:val="TableText"/>
            </w:pPr>
          </w:p>
        </w:tc>
        <w:tc>
          <w:tcPr>
            <w:tcW w:w="5898" w:type="dxa"/>
          </w:tcPr>
          <w:p w:rsidR="00172480" w:rsidRDefault="00172480">
            <w:pPr>
              <w:pStyle w:val="TableBlock"/>
            </w:pPr>
            <w:r>
              <w:rPr>
                <w:rFonts w:ascii="David" w:hAnsi="David" w:hint="cs"/>
                <w:rtl/>
              </w:rPr>
              <w:t xml:space="preserve">"(6) </w:t>
            </w:r>
            <w:r w:rsidRPr="002E499E">
              <w:rPr>
                <w:rFonts w:ascii="David" w:eastAsia="Times New Roman" w:hAnsi="David"/>
                <w:noProof/>
                <w:sz w:val="26"/>
                <w:rtl/>
                <w:lang w:eastAsia="he-IL"/>
              </w:rPr>
              <w:t xml:space="preserve">בקרן שאינה קרן מחקה ואינה קרן כאמור בתקנות </w:t>
            </w:r>
            <w:r>
              <w:rPr>
                <w:rFonts w:ascii="David" w:eastAsia="Times New Roman" w:hAnsi="David" w:hint="cs"/>
                <w:noProof/>
                <w:sz w:val="26"/>
                <w:rtl/>
                <w:lang w:eastAsia="he-IL"/>
              </w:rPr>
              <w:t>2א עד 2ה</w:t>
            </w:r>
            <w:r w:rsidRPr="002E499E">
              <w:rPr>
                <w:rFonts w:ascii="David" w:eastAsia="Times New Roman" w:hAnsi="David"/>
                <w:noProof/>
                <w:sz w:val="26"/>
                <w:rtl/>
                <w:lang w:eastAsia="he-IL"/>
              </w:rPr>
              <w:t xml:space="preserve"> - ניירות ערך, לרבות נגזרים ולרבות תעודת התחייבות מובנית, הנסחרים במערכת המסחר למוסדיים או שרישומם למסחר במערכת אושר</w:t>
            </w:r>
            <w:r w:rsidR="00BF2ABE">
              <w:rPr>
                <w:rFonts w:ascii="David" w:hAnsi="David" w:hint="cs"/>
                <w:rtl/>
              </w:rPr>
              <w:t>;</w:t>
            </w:r>
            <w:r>
              <w:rPr>
                <w:rFonts w:ascii="David" w:hAnsi="David" w:hint="cs"/>
                <w:rtl/>
              </w:rPr>
              <w:t>"</w:t>
            </w:r>
            <w:r w:rsidR="009D2B83">
              <w:rPr>
                <w:rFonts w:ascii="David" w:hAnsi="David" w:hint="cs"/>
                <w:rtl/>
              </w:rPr>
              <w:t>.</w:t>
            </w:r>
          </w:p>
        </w:tc>
      </w:tr>
      <w:tr w:rsidR="002E499E">
        <w:trPr>
          <w:cantSplit/>
          <w:trHeight w:val="60"/>
        </w:trPr>
        <w:tc>
          <w:tcPr>
            <w:tcW w:w="1871" w:type="dxa"/>
          </w:tcPr>
          <w:p w:rsidR="002E499E" w:rsidRDefault="002E499E">
            <w:pPr>
              <w:pStyle w:val="TableSideHeading"/>
            </w:pPr>
          </w:p>
        </w:tc>
        <w:tc>
          <w:tcPr>
            <w:tcW w:w="624" w:type="dxa"/>
          </w:tcPr>
          <w:p w:rsidR="002E499E" w:rsidRDefault="002E499E">
            <w:pPr>
              <w:pStyle w:val="TableText"/>
            </w:pPr>
          </w:p>
        </w:tc>
        <w:tc>
          <w:tcPr>
            <w:tcW w:w="624" w:type="dxa"/>
          </w:tcPr>
          <w:p w:rsidR="002E499E" w:rsidRDefault="002E499E">
            <w:pPr>
              <w:pStyle w:val="TableText"/>
            </w:pPr>
          </w:p>
        </w:tc>
        <w:tc>
          <w:tcPr>
            <w:tcW w:w="6522" w:type="dxa"/>
            <w:gridSpan w:val="2"/>
          </w:tcPr>
          <w:p w:rsidR="002E499E" w:rsidRPr="002E499E" w:rsidRDefault="00BF7FB1" w:rsidP="00BF7FB1">
            <w:pPr>
              <w:pStyle w:val="TableBlock"/>
              <w:numPr>
                <w:ilvl w:val="0"/>
                <w:numId w:val="20"/>
              </w:numPr>
              <w:tabs>
                <w:tab w:val="left" w:pos="624"/>
              </w:tabs>
              <w:rPr>
                <w:rFonts w:ascii="David" w:hAnsi="David"/>
                <w:rtl/>
              </w:rPr>
            </w:pPr>
            <w:r>
              <w:rPr>
                <w:rFonts w:ascii="David" w:hAnsi="David" w:hint="cs"/>
                <w:rtl/>
              </w:rPr>
              <w:t>תקנת משנה (6א) תימחק.</w:t>
            </w:r>
          </w:p>
        </w:tc>
      </w:tr>
      <w:tr w:rsidR="00BF7FB1">
        <w:trPr>
          <w:cantSplit/>
          <w:trHeight w:val="60"/>
        </w:trPr>
        <w:tc>
          <w:tcPr>
            <w:tcW w:w="1871" w:type="dxa"/>
          </w:tcPr>
          <w:p w:rsidR="00BF7FB1" w:rsidRDefault="00BF7FB1" w:rsidP="007E751D">
            <w:pPr>
              <w:pStyle w:val="TableSideHeading"/>
              <w:keepLines w:val="0"/>
            </w:pPr>
            <w:bookmarkStart w:id="12" w:name="_Toc139532051"/>
            <w:bookmarkStart w:id="13" w:name="_Toc139532073"/>
            <w:r>
              <w:rPr>
                <w:rFonts w:hint="cs"/>
                <w:rtl/>
              </w:rPr>
              <w:t>תיקון תקנה 5</w:t>
            </w:r>
            <w:bookmarkEnd w:id="12"/>
            <w:bookmarkEnd w:id="13"/>
          </w:p>
        </w:tc>
        <w:tc>
          <w:tcPr>
            <w:tcW w:w="624" w:type="dxa"/>
          </w:tcPr>
          <w:p w:rsidR="00BF7FB1" w:rsidRDefault="00BF7FB1" w:rsidP="00BF7FB1">
            <w:pPr>
              <w:pStyle w:val="TableText"/>
              <w:keepLines w:val="0"/>
              <w:numPr>
                <w:ilvl w:val="0"/>
                <w:numId w:val="4"/>
              </w:numPr>
            </w:pPr>
          </w:p>
        </w:tc>
        <w:tc>
          <w:tcPr>
            <w:tcW w:w="7146" w:type="dxa"/>
            <w:gridSpan w:val="3"/>
          </w:tcPr>
          <w:p w:rsidR="00BF7FB1" w:rsidRPr="00C34DE2" w:rsidRDefault="00BF7FB1" w:rsidP="007E751D">
            <w:pPr>
              <w:pStyle w:val="TableBlock"/>
              <w:keepLines w:val="0"/>
            </w:pPr>
            <w:r>
              <w:rPr>
                <w:rFonts w:hint="cs"/>
                <w:rtl/>
              </w:rPr>
              <w:t xml:space="preserve">בתקנה 5 לתקנות העיקריות - </w:t>
            </w:r>
          </w:p>
        </w:tc>
      </w:tr>
      <w:tr w:rsidR="00BF7FB1">
        <w:trPr>
          <w:cantSplit/>
          <w:trHeight w:val="60"/>
        </w:trPr>
        <w:tc>
          <w:tcPr>
            <w:tcW w:w="1871" w:type="dxa"/>
          </w:tcPr>
          <w:p w:rsidR="00BF7FB1" w:rsidRDefault="00BF7FB1">
            <w:pPr>
              <w:pStyle w:val="TableSideHeading"/>
            </w:pPr>
          </w:p>
        </w:tc>
        <w:tc>
          <w:tcPr>
            <w:tcW w:w="624" w:type="dxa"/>
          </w:tcPr>
          <w:p w:rsidR="00BF7FB1" w:rsidRDefault="00BF7FB1">
            <w:pPr>
              <w:pStyle w:val="TableText"/>
            </w:pPr>
          </w:p>
        </w:tc>
        <w:tc>
          <w:tcPr>
            <w:tcW w:w="624" w:type="dxa"/>
          </w:tcPr>
          <w:p w:rsidR="00BF7FB1" w:rsidRDefault="00BF7FB1">
            <w:pPr>
              <w:pStyle w:val="TableText"/>
            </w:pPr>
          </w:p>
        </w:tc>
        <w:tc>
          <w:tcPr>
            <w:tcW w:w="6522" w:type="dxa"/>
            <w:gridSpan w:val="2"/>
          </w:tcPr>
          <w:p w:rsidR="00BF7FB1" w:rsidRDefault="00BF7FB1" w:rsidP="00BF7FB1">
            <w:pPr>
              <w:pStyle w:val="TableBlock"/>
              <w:numPr>
                <w:ilvl w:val="0"/>
                <w:numId w:val="21"/>
              </w:numPr>
              <w:tabs>
                <w:tab w:val="left" w:pos="624"/>
              </w:tabs>
            </w:pPr>
            <w:r>
              <w:rPr>
                <w:rFonts w:hint="cs"/>
                <w:rtl/>
              </w:rPr>
              <w:t xml:space="preserve">אחרי תקנת משנה (א2) יבוא: </w:t>
            </w:r>
          </w:p>
        </w:tc>
      </w:tr>
      <w:tr w:rsidR="00BF7FB1">
        <w:trPr>
          <w:cantSplit/>
          <w:trHeight w:val="60"/>
        </w:trPr>
        <w:tc>
          <w:tcPr>
            <w:tcW w:w="1871" w:type="dxa"/>
          </w:tcPr>
          <w:p w:rsidR="00BF7FB1" w:rsidRDefault="00BF7FB1">
            <w:pPr>
              <w:pStyle w:val="TableSideHeading"/>
            </w:pPr>
          </w:p>
        </w:tc>
        <w:tc>
          <w:tcPr>
            <w:tcW w:w="624" w:type="dxa"/>
          </w:tcPr>
          <w:p w:rsidR="00BF7FB1" w:rsidRDefault="00BF7FB1">
            <w:pPr>
              <w:pStyle w:val="TableText"/>
            </w:pPr>
          </w:p>
        </w:tc>
        <w:tc>
          <w:tcPr>
            <w:tcW w:w="624" w:type="dxa"/>
          </w:tcPr>
          <w:p w:rsidR="00BF7FB1" w:rsidRDefault="00BF7FB1">
            <w:pPr>
              <w:pStyle w:val="TableText"/>
            </w:pPr>
          </w:p>
        </w:tc>
        <w:tc>
          <w:tcPr>
            <w:tcW w:w="624" w:type="dxa"/>
          </w:tcPr>
          <w:p w:rsidR="00BF7FB1" w:rsidRDefault="00BF7FB1">
            <w:pPr>
              <w:pStyle w:val="TableText"/>
            </w:pPr>
          </w:p>
        </w:tc>
        <w:tc>
          <w:tcPr>
            <w:tcW w:w="5898" w:type="dxa"/>
          </w:tcPr>
          <w:p w:rsidR="00BF7FB1" w:rsidRPr="00BF7FB1" w:rsidRDefault="00BF7FB1">
            <w:pPr>
              <w:pStyle w:val="TableBlock"/>
              <w:rPr>
                <w:rFonts w:ascii="David" w:hAnsi="David"/>
              </w:rPr>
            </w:pPr>
            <w:r w:rsidRPr="00BF7FB1">
              <w:rPr>
                <w:rFonts w:ascii="David" w:hAnsi="David"/>
                <w:rtl/>
              </w:rPr>
              <w:t>"</w:t>
            </w:r>
            <w:r w:rsidRPr="00BF7FB1">
              <w:rPr>
                <w:rFonts w:ascii="David" w:eastAsia="Times New Roman" w:hAnsi="David"/>
                <w:sz w:val="26"/>
                <w:rtl/>
                <w:lang w:eastAsia="he-IL"/>
              </w:rPr>
              <w:t>(א3)</w:t>
            </w:r>
            <w:r w:rsidRPr="00BF7FB1">
              <w:rPr>
                <w:rFonts w:ascii="David" w:eastAsia="Times New Roman" w:hAnsi="David"/>
                <w:sz w:val="26"/>
                <w:rtl/>
                <w:lang w:eastAsia="he-IL"/>
              </w:rPr>
              <w:tab/>
              <w:t>נוסף על האמור בתקנת משנה (א), שווי נכסים כאמור בתקנה 2(6) שהוציא תאגיד, או שנכס הבסיס שלהם הוא נייר ערך שהוציא תאגיד, לא יעלה על 2.5 אחוזים משווי נכסי הקרן, ובקרן מועדים קבועים ובקרן סגורה שאינה קרן סל, אשר נקבעה לגביה חובת הודעה מוקדמת על פדיון 14 ימים לפחות קודם למועד הפדיון – חמישה אחוזים משווי נכסי הקרן</w:t>
            </w:r>
            <w:r w:rsidR="00122671">
              <w:rPr>
                <w:rFonts w:ascii="David" w:eastAsia="Times New Roman" w:hAnsi="David" w:hint="cs"/>
                <w:sz w:val="26"/>
                <w:rtl/>
                <w:lang w:eastAsia="he-IL"/>
              </w:rPr>
              <w:t>.</w:t>
            </w:r>
            <w:r w:rsidRPr="00BF7FB1">
              <w:rPr>
                <w:rFonts w:ascii="David" w:hAnsi="David"/>
                <w:rtl/>
              </w:rPr>
              <w:t>"</w:t>
            </w:r>
            <w:r w:rsidR="009D2B83">
              <w:rPr>
                <w:rFonts w:ascii="David" w:hAnsi="David" w:hint="cs"/>
                <w:rtl/>
              </w:rPr>
              <w:t>.</w:t>
            </w:r>
          </w:p>
        </w:tc>
      </w:tr>
      <w:tr w:rsidR="000429D5">
        <w:trPr>
          <w:cantSplit/>
          <w:trHeight w:val="60"/>
        </w:trPr>
        <w:tc>
          <w:tcPr>
            <w:tcW w:w="1871" w:type="dxa"/>
          </w:tcPr>
          <w:p w:rsidR="000429D5" w:rsidRDefault="000429D5">
            <w:pPr>
              <w:pStyle w:val="TableSideHeading"/>
            </w:pPr>
          </w:p>
        </w:tc>
        <w:tc>
          <w:tcPr>
            <w:tcW w:w="624" w:type="dxa"/>
          </w:tcPr>
          <w:p w:rsidR="000429D5" w:rsidRDefault="000429D5">
            <w:pPr>
              <w:pStyle w:val="TableText"/>
            </w:pPr>
          </w:p>
        </w:tc>
        <w:tc>
          <w:tcPr>
            <w:tcW w:w="624" w:type="dxa"/>
          </w:tcPr>
          <w:p w:rsidR="000429D5" w:rsidRDefault="000429D5">
            <w:pPr>
              <w:pStyle w:val="TableText"/>
            </w:pPr>
          </w:p>
        </w:tc>
        <w:tc>
          <w:tcPr>
            <w:tcW w:w="6522" w:type="dxa"/>
            <w:gridSpan w:val="2"/>
          </w:tcPr>
          <w:p w:rsidR="000429D5" w:rsidRDefault="000429D5" w:rsidP="000429D5">
            <w:pPr>
              <w:pStyle w:val="TableBlock"/>
              <w:numPr>
                <w:ilvl w:val="0"/>
                <w:numId w:val="21"/>
              </w:numPr>
              <w:tabs>
                <w:tab w:val="left" w:pos="624"/>
              </w:tabs>
            </w:pPr>
            <w:r>
              <w:rPr>
                <w:rFonts w:hint="cs"/>
                <w:rtl/>
              </w:rPr>
              <w:t>תקנת משנה (ג) תימחק.</w:t>
            </w:r>
          </w:p>
        </w:tc>
      </w:tr>
      <w:tr w:rsidR="000429D5">
        <w:trPr>
          <w:cantSplit/>
          <w:trHeight w:val="60"/>
        </w:trPr>
        <w:tc>
          <w:tcPr>
            <w:tcW w:w="1871" w:type="dxa"/>
          </w:tcPr>
          <w:p w:rsidR="000429D5" w:rsidRDefault="000429D5" w:rsidP="007E751D">
            <w:pPr>
              <w:pStyle w:val="TableSideHeading"/>
              <w:keepLines w:val="0"/>
            </w:pPr>
            <w:bookmarkStart w:id="14" w:name="_Toc139532052"/>
            <w:bookmarkStart w:id="15" w:name="_Toc139532074"/>
            <w:r>
              <w:rPr>
                <w:rFonts w:hint="cs"/>
                <w:rtl/>
              </w:rPr>
              <w:t>תיקון תקנה 6</w:t>
            </w:r>
            <w:bookmarkEnd w:id="14"/>
            <w:bookmarkEnd w:id="15"/>
          </w:p>
        </w:tc>
        <w:tc>
          <w:tcPr>
            <w:tcW w:w="624" w:type="dxa"/>
          </w:tcPr>
          <w:p w:rsidR="000429D5" w:rsidRDefault="000429D5" w:rsidP="000429D5">
            <w:pPr>
              <w:pStyle w:val="TableText"/>
              <w:keepLines w:val="0"/>
              <w:numPr>
                <w:ilvl w:val="0"/>
                <w:numId w:val="4"/>
              </w:numPr>
            </w:pPr>
          </w:p>
        </w:tc>
        <w:tc>
          <w:tcPr>
            <w:tcW w:w="7146" w:type="dxa"/>
            <w:gridSpan w:val="3"/>
          </w:tcPr>
          <w:p w:rsidR="000429D5" w:rsidRPr="00C34DE2" w:rsidRDefault="000429D5" w:rsidP="007E751D">
            <w:pPr>
              <w:pStyle w:val="TableBlock"/>
              <w:keepLines w:val="0"/>
            </w:pPr>
            <w:r>
              <w:rPr>
                <w:rFonts w:hint="cs"/>
                <w:rtl/>
              </w:rPr>
              <w:t xml:space="preserve">בתקנה 6 לתקנות העיקריות </w:t>
            </w:r>
            <w:r>
              <w:rPr>
                <w:rtl/>
              </w:rPr>
              <w:t>–</w:t>
            </w:r>
            <w:r>
              <w:rPr>
                <w:rFonts w:hint="cs"/>
                <w:rtl/>
              </w:rPr>
              <w:t xml:space="preserve"> תקנת משנה (א2) תימחק. </w:t>
            </w:r>
          </w:p>
        </w:tc>
      </w:tr>
      <w:tr w:rsidR="000429D5">
        <w:trPr>
          <w:cantSplit/>
          <w:trHeight w:val="60"/>
        </w:trPr>
        <w:tc>
          <w:tcPr>
            <w:tcW w:w="1871" w:type="dxa"/>
          </w:tcPr>
          <w:p w:rsidR="000429D5" w:rsidRDefault="000429D5" w:rsidP="007E751D">
            <w:pPr>
              <w:pStyle w:val="TableSideHeading"/>
              <w:keepLines w:val="0"/>
            </w:pPr>
            <w:bookmarkStart w:id="16" w:name="_Toc139532053"/>
            <w:bookmarkStart w:id="17" w:name="_Toc139532075"/>
            <w:r>
              <w:rPr>
                <w:rFonts w:hint="cs"/>
                <w:rtl/>
              </w:rPr>
              <w:t>תיקון תקנה 8</w:t>
            </w:r>
            <w:bookmarkEnd w:id="16"/>
            <w:bookmarkEnd w:id="17"/>
          </w:p>
        </w:tc>
        <w:tc>
          <w:tcPr>
            <w:tcW w:w="624" w:type="dxa"/>
          </w:tcPr>
          <w:p w:rsidR="000429D5" w:rsidRDefault="000429D5" w:rsidP="000429D5">
            <w:pPr>
              <w:pStyle w:val="TableText"/>
              <w:keepLines w:val="0"/>
              <w:numPr>
                <w:ilvl w:val="0"/>
                <w:numId w:val="4"/>
              </w:numPr>
            </w:pPr>
          </w:p>
        </w:tc>
        <w:tc>
          <w:tcPr>
            <w:tcW w:w="7146" w:type="dxa"/>
            <w:gridSpan w:val="3"/>
          </w:tcPr>
          <w:p w:rsidR="000429D5" w:rsidRPr="00C34DE2" w:rsidRDefault="009D2B83" w:rsidP="007E751D">
            <w:pPr>
              <w:pStyle w:val="TableBlock"/>
              <w:keepLines w:val="0"/>
            </w:pPr>
            <w:r>
              <w:rPr>
                <w:rFonts w:hint="cs"/>
                <w:rtl/>
              </w:rPr>
              <w:t xml:space="preserve">בתקנה 8 לתקנות העיקריות - </w:t>
            </w:r>
          </w:p>
        </w:tc>
      </w:tr>
      <w:tr w:rsidR="009D2B83">
        <w:trPr>
          <w:cantSplit/>
          <w:trHeight w:val="60"/>
        </w:trPr>
        <w:tc>
          <w:tcPr>
            <w:tcW w:w="1871" w:type="dxa"/>
          </w:tcPr>
          <w:p w:rsidR="009D2B83" w:rsidRDefault="009D2B83">
            <w:pPr>
              <w:pStyle w:val="TableSideHeading"/>
            </w:pPr>
          </w:p>
        </w:tc>
        <w:tc>
          <w:tcPr>
            <w:tcW w:w="624" w:type="dxa"/>
          </w:tcPr>
          <w:p w:rsidR="009D2B83" w:rsidRDefault="009D2B83">
            <w:pPr>
              <w:pStyle w:val="TableText"/>
            </w:pPr>
          </w:p>
        </w:tc>
        <w:tc>
          <w:tcPr>
            <w:tcW w:w="624" w:type="dxa"/>
          </w:tcPr>
          <w:p w:rsidR="009D2B83" w:rsidRDefault="009D2B83">
            <w:pPr>
              <w:pStyle w:val="TableText"/>
            </w:pPr>
          </w:p>
        </w:tc>
        <w:tc>
          <w:tcPr>
            <w:tcW w:w="6522" w:type="dxa"/>
            <w:gridSpan w:val="2"/>
          </w:tcPr>
          <w:p w:rsidR="009D2B83" w:rsidRDefault="009D2B83" w:rsidP="009D2B83">
            <w:pPr>
              <w:pStyle w:val="TableBlock"/>
              <w:numPr>
                <w:ilvl w:val="0"/>
                <w:numId w:val="22"/>
              </w:numPr>
              <w:tabs>
                <w:tab w:val="left" w:pos="624"/>
              </w:tabs>
            </w:pPr>
            <w:r>
              <w:rPr>
                <w:rFonts w:hint="cs"/>
                <w:rtl/>
              </w:rPr>
              <w:t>במקום תקנת משנה (א) יבוא:</w:t>
            </w:r>
          </w:p>
        </w:tc>
      </w:tr>
      <w:tr w:rsidR="009D2B83">
        <w:trPr>
          <w:cantSplit/>
          <w:trHeight w:val="60"/>
        </w:trPr>
        <w:tc>
          <w:tcPr>
            <w:tcW w:w="1871" w:type="dxa"/>
          </w:tcPr>
          <w:p w:rsidR="009D2B83" w:rsidRDefault="009D2B83">
            <w:pPr>
              <w:pStyle w:val="TableSideHeading"/>
            </w:pPr>
          </w:p>
        </w:tc>
        <w:tc>
          <w:tcPr>
            <w:tcW w:w="624" w:type="dxa"/>
          </w:tcPr>
          <w:p w:rsidR="009D2B83" w:rsidRDefault="009D2B83">
            <w:pPr>
              <w:pStyle w:val="TableText"/>
            </w:pPr>
          </w:p>
        </w:tc>
        <w:tc>
          <w:tcPr>
            <w:tcW w:w="624" w:type="dxa"/>
          </w:tcPr>
          <w:p w:rsidR="009D2B83" w:rsidRDefault="009D2B83">
            <w:pPr>
              <w:pStyle w:val="TableText"/>
            </w:pPr>
          </w:p>
        </w:tc>
        <w:tc>
          <w:tcPr>
            <w:tcW w:w="624" w:type="dxa"/>
          </w:tcPr>
          <w:p w:rsidR="009D2B83" w:rsidRDefault="009D2B83">
            <w:pPr>
              <w:pStyle w:val="TableText"/>
            </w:pPr>
          </w:p>
        </w:tc>
        <w:tc>
          <w:tcPr>
            <w:tcW w:w="5898" w:type="dxa"/>
          </w:tcPr>
          <w:p w:rsidR="009D2B83" w:rsidRPr="009D2B83" w:rsidRDefault="009D2B83">
            <w:pPr>
              <w:pStyle w:val="TableBlock"/>
              <w:rPr>
                <w:rFonts w:ascii="David" w:hAnsi="David"/>
              </w:rPr>
            </w:pPr>
            <w:r w:rsidRPr="009D2B83">
              <w:rPr>
                <w:rFonts w:ascii="David" w:hAnsi="David"/>
                <w:rtl/>
              </w:rPr>
              <w:t xml:space="preserve">"(א) </w:t>
            </w:r>
            <w:r w:rsidRPr="009D2B83">
              <w:rPr>
                <w:rFonts w:ascii="David" w:eastAsia="Times New Roman" w:hAnsi="David"/>
                <w:noProof/>
                <w:sz w:val="26"/>
                <w:rtl/>
                <w:lang w:eastAsia="he-IL"/>
              </w:rPr>
              <w:t>שווי איגרות חוב כאמור בתקנה 2(2)(א)(3), ששווי הסדרה שלהן נמוך מן השווי המזערי, כמשמעותו בתקנה האמורה, במשך תקופה של שלושה חודשים לפחות, יחד עם שווי נכסים כאמור בתקנה 2(4) עד (8), פיקדונות לזמן קצוב, ניירות ערך וניירות ערך חוץ שהושאלו כאמור בתקנה 9 לתקנות האופציות</w:t>
            </w:r>
            <w:r w:rsidR="00952268">
              <w:rPr>
                <w:rFonts w:ascii="David" w:eastAsia="Times New Roman" w:hAnsi="David" w:hint="cs"/>
                <w:noProof/>
                <w:sz w:val="26"/>
                <w:rtl/>
                <w:lang w:eastAsia="he-IL"/>
              </w:rPr>
              <w:t xml:space="preserve"> </w:t>
            </w:r>
            <w:r w:rsidRPr="009D2B83">
              <w:rPr>
                <w:rFonts w:ascii="David" w:eastAsia="Times New Roman" w:hAnsi="David"/>
                <w:noProof/>
                <w:sz w:val="26"/>
                <w:rtl/>
                <w:lang w:eastAsia="he-IL"/>
              </w:rPr>
              <w:t xml:space="preserve">המוחזקים בקרן, לא יעלה על עשרה אחוזים מהשווי הנקי של נכסי הקרן; על אף האמור, </w:t>
            </w:r>
            <w:r w:rsidRPr="009D2B83">
              <w:rPr>
                <w:rFonts w:ascii="David" w:eastAsia="Times New Roman" w:hAnsi="David"/>
                <w:sz w:val="26"/>
                <w:rtl/>
                <w:lang w:eastAsia="he-IL"/>
              </w:rPr>
              <w:t>בקרן מועדים קבועים ובקרן סגורה שאינה קרן סל, אשר נקבעה לגביה חובת הודעה מוקדמת על פדיון 14 ימים לפחות קודם למועד הפדיון, שווי נכסים כאמור בתקנה 2(6) לא יעלה על עשרים אחוזים משווי נכסי הקרן</w:t>
            </w:r>
            <w:r w:rsidR="00122671">
              <w:rPr>
                <w:rFonts w:ascii="David" w:eastAsia="Times New Roman" w:hAnsi="David" w:hint="cs"/>
                <w:sz w:val="26"/>
                <w:rtl/>
                <w:lang w:eastAsia="he-IL"/>
              </w:rPr>
              <w:t>.</w:t>
            </w:r>
            <w:r>
              <w:rPr>
                <w:rFonts w:ascii="David" w:eastAsia="Times New Roman" w:hAnsi="David" w:hint="cs"/>
                <w:sz w:val="26"/>
                <w:rtl/>
                <w:lang w:eastAsia="he-IL"/>
              </w:rPr>
              <w:t>".</w:t>
            </w:r>
          </w:p>
        </w:tc>
      </w:tr>
      <w:tr w:rsidR="009D2B83">
        <w:trPr>
          <w:cantSplit/>
          <w:trHeight w:val="60"/>
        </w:trPr>
        <w:tc>
          <w:tcPr>
            <w:tcW w:w="1871" w:type="dxa"/>
          </w:tcPr>
          <w:p w:rsidR="009D2B83" w:rsidRDefault="009D2B83">
            <w:pPr>
              <w:pStyle w:val="TableSideHeading"/>
            </w:pPr>
          </w:p>
        </w:tc>
        <w:tc>
          <w:tcPr>
            <w:tcW w:w="624" w:type="dxa"/>
          </w:tcPr>
          <w:p w:rsidR="009D2B83" w:rsidRDefault="009D2B83">
            <w:pPr>
              <w:pStyle w:val="TableText"/>
            </w:pPr>
          </w:p>
        </w:tc>
        <w:tc>
          <w:tcPr>
            <w:tcW w:w="624" w:type="dxa"/>
          </w:tcPr>
          <w:p w:rsidR="009D2B83" w:rsidRDefault="009D2B83">
            <w:pPr>
              <w:pStyle w:val="TableText"/>
            </w:pPr>
          </w:p>
        </w:tc>
        <w:tc>
          <w:tcPr>
            <w:tcW w:w="6522" w:type="dxa"/>
            <w:gridSpan w:val="2"/>
          </w:tcPr>
          <w:p w:rsidR="009D2B83" w:rsidRDefault="009D2B83" w:rsidP="009D2B83">
            <w:pPr>
              <w:pStyle w:val="TableBlock"/>
              <w:numPr>
                <w:ilvl w:val="0"/>
                <w:numId w:val="22"/>
              </w:numPr>
              <w:tabs>
                <w:tab w:val="left" w:pos="624"/>
              </w:tabs>
            </w:pPr>
            <w:r>
              <w:rPr>
                <w:rFonts w:hint="cs"/>
                <w:rtl/>
              </w:rPr>
              <w:t>תקנת משנה (א1) תימחק</w:t>
            </w:r>
            <w:r w:rsidR="00122671">
              <w:rPr>
                <w:rFonts w:hint="cs"/>
                <w:rtl/>
              </w:rPr>
              <w:t>.</w:t>
            </w:r>
          </w:p>
        </w:tc>
      </w:tr>
      <w:tr w:rsidR="009D2B83">
        <w:trPr>
          <w:cantSplit/>
          <w:trHeight w:val="60"/>
        </w:trPr>
        <w:tc>
          <w:tcPr>
            <w:tcW w:w="1871" w:type="dxa"/>
          </w:tcPr>
          <w:p w:rsidR="009D2B83" w:rsidRDefault="009D2B83">
            <w:pPr>
              <w:pStyle w:val="TableSideHeading"/>
            </w:pPr>
          </w:p>
        </w:tc>
        <w:tc>
          <w:tcPr>
            <w:tcW w:w="624" w:type="dxa"/>
          </w:tcPr>
          <w:p w:rsidR="009D2B83" w:rsidRDefault="009D2B83" w:rsidP="009D2B83">
            <w:pPr>
              <w:pStyle w:val="TableText"/>
            </w:pPr>
          </w:p>
        </w:tc>
        <w:tc>
          <w:tcPr>
            <w:tcW w:w="624" w:type="dxa"/>
          </w:tcPr>
          <w:p w:rsidR="009D2B83" w:rsidRDefault="009D2B83">
            <w:pPr>
              <w:pStyle w:val="TableText"/>
            </w:pPr>
          </w:p>
        </w:tc>
        <w:tc>
          <w:tcPr>
            <w:tcW w:w="6522" w:type="dxa"/>
            <w:gridSpan w:val="2"/>
          </w:tcPr>
          <w:p w:rsidR="009D2B83" w:rsidRPr="00122671" w:rsidRDefault="00122671" w:rsidP="009D2B83">
            <w:pPr>
              <w:pStyle w:val="TableBlock"/>
              <w:numPr>
                <w:ilvl w:val="0"/>
                <w:numId w:val="22"/>
              </w:numPr>
              <w:tabs>
                <w:tab w:val="left" w:pos="624"/>
              </w:tabs>
              <w:rPr>
                <w:rFonts w:ascii="David" w:hAnsi="David"/>
                <w:rtl/>
              </w:rPr>
            </w:pPr>
            <w:r w:rsidRPr="00122671">
              <w:rPr>
                <w:rFonts w:ascii="David" w:hAnsi="David"/>
                <w:rtl/>
              </w:rPr>
              <w:t>בתקנה משנה (ב1), בפסקה (1), המילים "</w:t>
            </w:r>
            <w:r w:rsidRPr="00122671">
              <w:rPr>
                <w:rFonts w:ascii="David" w:hAnsi="David"/>
                <w:color w:val="000000"/>
                <w:sz w:val="26"/>
                <w:rtl/>
              </w:rPr>
              <w:t>ולמעט תעודות התחייבות מובנות כאמור בתקנת משנה (א1)"</w:t>
            </w:r>
            <w:r w:rsidR="00B54848">
              <w:rPr>
                <w:rFonts w:ascii="David" w:hAnsi="David" w:hint="cs"/>
                <w:color w:val="000000"/>
                <w:sz w:val="26"/>
                <w:rtl/>
              </w:rPr>
              <w:t>,</w:t>
            </w:r>
            <w:r w:rsidRPr="00122671">
              <w:rPr>
                <w:rFonts w:ascii="David" w:hAnsi="David"/>
                <w:color w:val="000000"/>
                <w:sz w:val="26"/>
                <w:rtl/>
              </w:rPr>
              <w:t xml:space="preserve"> ימחקו.</w:t>
            </w:r>
          </w:p>
        </w:tc>
      </w:tr>
    </w:tbl>
    <w:p w:rsidR="003549D7" w:rsidRDefault="003549D7" w:rsidP="00722C14"/>
    <w:p w:rsidR="003549D7" w:rsidRDefault="003549D7" w:rsidP="00722C14">
      <w:pPr>
        <w:rPr>
          <w:rtl/>
        </w:rPr>
      </w:pPr>
    </w:p>
    <w:p w:rsidR="003549D7" w:rsidRDefault="003549D7" w:rsidP="00722C14">
      <w:pPr>
        <w:rPr>
          <w:rFonts w:eastAsia="Calibri"/>
          <w:rtl/>
        </w:rPr>
      </w:pPr>
      <w:r>
        <w:rPr>
          <w:rFonts w:eastAsia="Calibri" w:hint="cs"/>
          <w:rtl/>
        </w:rPr>
        <w:t>___ ב________ התש_______ (___ ב________ ____20)</w:t>
      </w:r>
    </w:p>
    <w:p w:rsidR="003549D7" w:rsidRDefault="003549D7" w:rsidP="00722C14">
      <w:pPr>
        <w:rPr>
          <w:rFonts w:eastAsia="Calibri"/>
          <w:rtl/>
        </w:rPr>
      </w:pPr>
      <w:r>
        <w:rPr>
          <w:rFonts w:eastAsia="Calibri" w:hint="cs"/>
          <w:rtl/>
        </w:rPr>
        <w:t>[תאריך עברי] ([תאריך לועזי])</w:t>
      </w:r>
    </w:p>
    <w:p w:rsidR="003549D7" w:rsidRDefault="003549D7" w:rsidP="00722C14">
      <w:pPr>
        <w:rPr>
          <w:rtl/>
        </w:rPr>
      </w:pPr>
      <w:r>
        <w:rPr>
          <w:rFonts w:hint="cs"/>
          <w:rtl/>
        </w:rPr>
        <w:t>(</w:t>
      </w:r>
      <w:proofErr w:type="spellStart"/>
      <w:r>
        <w:rPr>
          <w:rFonts w:hint="cs"/>
          <w:rtl/>
        </w:rPr>
        <w:t>חמ</w:t>
      </w:r>
      <w:proofErr w:type="spellEnd"/>
      <w:r>
        <w:rPr>
          <w:rFonts w:hint="cs"/>
          <w:rtl/>
        </w:rPr>
        <w:t xml:space="preserve"> _____-3)</w:t>
      </w:r>
    </w:p>
    <w:p w:rsidR="003549D7" w:rsidRDefault="003549D7" w:rsidP="00722C14">
      <w:pPr>
        <w:rPr>
          <w:rtl/>
        </w:rPr>
      </w:pPr>
    </w:p>
    <w:p w:rsidR="003549D7" w:rsidRDefault="003549D7" w:rsidP="00722C14">
      <w:pPr>
        <w:ind w:left="5760"/>
        <w:jc w:val="center"/>
        <w:rPr>
          <w:rtl/>
        </w:rPr>
      </w:pPr>
      <w:r>
        <w:rPr>
          <w:rFonts w:hint="cs"/>
          <w:rtl/>
        </w:rPr>
        <w:t>__________________[חתימה]</w:t>
      </w:r>
    </w:p>
    <w:p w:rsidR="003549D7" w:rsidRDefault="003549D7" w:rsidP="00722C14">
      <w:pPr>
        <w:ind w:left="5760"/>
        <w:jc w:val="center"/>
        <w:rPr>
          <w:rtl/>
        </w:rPr>
      </w:pPr>
      <w:r>
        <w:rPr>
          <w:rFonts w:hint="cs"/>
          <w:rtl/>
        </w:rPr>
        <w:t>[שם מלא של המתקין]</w:t>
      </w:r>
    </w:p>
    <w:p w:rsidR="003549D7" w:rsidRDefault="002B112D" w:rsidP="00722C14">
      <w:pPr>
        <w:ind w:left="5760"/>
        <w:jc w:val="center"/>
        <w:rPr>
          <w:rtl/>
        </w:rPr>
      </w:pPr>
      <w:r>
        <w:rPr>
          <w:rFonts w:hint="cs"/>
          <w:rtl/>
        </w:rPr>
        <w:t>שר האוצר</w:t>
      </w:r>
    </w:p>
    <w:p w:rsidR="003549D7" w:rsidRDefault="003549D7" w:rsidP="00722C14">
      <w:pPr>
        <w:rPr>
          <w:rtl/>
        </w:rPr>
      </w:pPr>
    </w:p>
    <w:p w:rsidR="003549D7" w:rsidRDefault="003549D7" w:rsidP="007937FB">
      <w:pPr>
        <w:pStyle w:val="HeadDivreiHesber"/>
        <w:spacing w:before="120"/>
        <w:contextualSpacing w:val="0"/>
        <w:rPr>
          <w:rtl/>
        </w:rPr>
      </w:pPr>
      <w:bookmarkStart w:id="18" w:name="_Toc139532054"/>
      <w:bookmarkStart w:id="19" w:name="_Toc139532076"/>
      <w:r>
        <w:rPr>
          <w:rtl/>
        </w:rPr>
        <w:t>דברי הסבר</w:t>
      </w:r>
      <w:bookmarkEnd w:id="18"/>
      <w:bookmarkEnd w:id="19"/>
    </w:p>
    <w:p w:rsidR="00122671" w:rsidRPr="000D2197" w:rsidRDefault="00122671" w:rsidP="00463A37">
      <w:pPr>
        <w:autoSpaceDE w:val="0"/>
        <w:autoSpaceDN w:val="0"/>
        <w:adjustRightInd w:val="0"/>
        <w:spacing w:before="120" w:after="120"/>
        <w:contextualSpacing w:val="0"/>
        <w:textAlignment w:val="center"/>
        <w:rPr>
          <w:rFonts w:ascii="Hadasa Roso SL" w:eastAsia="MS Mincho" w:hAnsi="Hadasa Roso SL"/>
          <w:color w:val="000000"/>
          <w:spacing w:val="1"/>
          <w:rtl/>
          <w:lang w:eastAsia="ja-JP"/>
        </w:rPr>
      </w:pPr>
      <w:r w:rsidRPr="000D2197">
        <w:rPr>
          <w:rFonts w:ascii="Hadasa Roso SL" w:eastAsia="MS Mincho" w:hAnsi="Hadasa Roso SL"/>
          <w:color w:val="000000"/>
          <w:spacing w:val="1"/>
          <w:rtl/>
          <w:lang w:eastAsia="ja-JP"/>
        </w:rPr>
        <w:t xml:space="preserve">מערכת </w:t>
      </w:r>
      <w:r w:rsidRPr="000D2197">
        <w:rPr>
          <w:rFonts w:ascii="Hadasa Roso SL" w:eastAsia="MS Mincho" w:hAnsi="Hadasa Roso SL" w:hint="cs"/>
          <w:color w:val="000000"/>
          <w:spacing w:val="1"/>
          <w:rtl/>
          <w:lang w:eastAsia="ja-JP"/>
        </w:rPr>
        <w:t>ה</w:t>
      </w:r>
      <w:r w:rsidRPr="000D2197">
        <w:rPr>
          <w:rFonts w:ascii="Hadasa Roso SL" w:eastAsia="MS Mincho" w:hAnsi="Hadasa Roso SL"/>
          <w:color w:val="000000"/>
          <w:spacing w:val="1"/>
          <w:rtl/>
          <w:lang w:eastAsia="ja-JP"/>
        </w:rPr>
        <w:t>מסחר ל</w:t>
      </w:r>
      <w:r w:rsidRPr="000D2197">
        <w:rPr>
          <w:rFonts w:ascii="Hadasa Roso SL" w:eastAsia="MS Mincho" w:hAnsi="Hadasa Roso SL" w:hint="cs"/>
          <w:color w:val="000000"/>
          <w:spacing w:val="1"/>
          <w:rtl/>
          <w:lang w:eastAsia="ja-JP"/>
        </w:rPr>
        <w:t xml:space="preserve">משקיעים </w:t>
      </w:r>
      <w:r w:rsidRPr="000D2197">
        <w:rPr>
          <w:rFonts w:ascii="Hadasa Roso SL" w:eastAsia="MS Mincho" w:hAnsi="Hadasa Roso SL"/>
          <w:color w:val="000000"/>
          <w:spacing w:val="1"/>
          <w:rtl/>
          <w:lang w:eastAsia="ja-JP"/>
        </w:rPr>
        <w:t xml:space="preserve">מוסדיים </w:t>
      </w:r>
      <w:r w:rsidRPr="000D2197">
        <w:rPr>
          <w:rFonts w:ascii="Hadasa Roso SL" w:eastAsia="MS Mincho" w:hAnsi="Hadasa Roso SL" w:hint="cs"/>
          <w:color w:val="000000"/>
          <w:spacing w:val="1"/>
          <w:rtl/>
          <w:lang w:eastAsia="ja-JP"/>
        </w:rPr>
        <w:t xml:space="preserve">(להלן </w:t>
      </w:r>
      <w:r w:rsidRPr="000D2197">
        <w:rPr>
          <w:rFonts w:ascii="Hadasa Roso SL" w:eastAsia="MS Mincho" w:hAnsi="Hadasa Roso SL"/>
          <w:color w:val="000000"/>
          <w:spacing w:val="1"/>
          <w:rtl/>
          <w:lang w:eastAsia="ja-JP"/>
        </w:rPr>
        <w:t>–</w:t>
      </w:r>
      <w:r w:rsidRPr="000D2197">
        <w:rPr>
          <w:rFonts w:ascii="Hadasa Roso SL" w:eastAsia="MS Mincho" w:hAnsi="Hadasa Roso SL" w:hint="cs"/>
          <w:color w:val="000000"/>
          <w:spacing w:val="1"/>
          <w:rtl/>
          <w:lang w:eastAsia="ja-JP"/>
        </w:rPr>
        <w:t xml:space="preserve"> </w:t>
      </w:r>
      <w:r w:rsidRPr="000D2197">
        <w:rPr>
          <w:rFonts w:ascii="Hadasa Roso SL" w:eastAsia="MS Mincho" w:hAnsi="Hadasa Roso SL" w:hint="cs"/>
          <w:b/>
          <w:bCs/>
          <w:color w:val="000000"/>
          <w:spacing w:val="1"/>
          <w:rtl/>
          <w:lang w:eastAsia="ja-JP"/>
        </w:rPr>
        <w:t>רצף מוסדיים</w:t>
      </w:r>
      <w:r w:rsidRPr="000D2197">
        <w:rPr>
          <w:rFonts w:ascii="Hadasa Roso SL" w:eastAsia="MS Mincho" w:hAnsi="Hadasa Roso SL" w:hint="cs"/>
          <w:color w:val="000000"/>
          <w:spacing w:val="1"/>
          <w:rtl/>
          <w:lang w:eastAsia="ja-JP"/>
        </w:rPr>
        <w:t>), החלה לפעול בבורסה, באישור רשות</w:t>
      </w:r>
      <w:r w:rsidR="00AA7730">
        <w:rPr>
          <w:rFonts w:ascii="Hadasa Roso SL" w:eastAsia="MS Mincho" w:hAnsi="Hadasa Roso SL" w:hint="cs"/>
          <w:color w:val="000000"/>
          <w:spacing w:val="1"/>
          <w:rtl/>
          <w:lang w:eastAsia="ja-JP"/>
        </w:rPr>
        <w:t xml:space="preserve"> ניירות ערך (להלן - </w:t>
      </w:r>
      <w:r w:rsidR="00AA7730" w:rsidRPr="007937FB">
        <w:rPr>
          <w:rFonts w:ascii="Hadasa Roso SL" w:eastAsia="MS Mincho" w:hAnsi="Hadasa Roso SL" w:hint="cs"/>
          <w:b/>
          <w:bCs/>
          <w:color w:val="000000"/>
          <w:spacing w:val="1"/>
          <w:rtl/>
          <w:lang w:eastAsia="ja-JP"/>
        </w:rPr>
        <w:t>הרשות</w:t>
      </w:r>
      <w:r w:rsidR="00AA7730">
        <w:rPr>
          <w:rFonts w:ascii="Hadasa Roso SL" w:eastAsia="MS Mincho" w:hAnsi="Hadasa Roso SL" w:hint="cs"/>
          <w:color w:val="000000"/>
          <w:spacing w:val="1"/>
          <w:rtl/>
          <w:lang w:eastAsia="ja-JP"/>
        </w:rPr>
        <w:t>)</w:t>
      </w:r>
      <w:r w:rsidRPr="000D2197">
        <w:rPr>
          <w:rFonts w:ascii="Hadasa Roso SL" w:eastAsia="MS Mincho" w:hAnsi="Hadasa Roso SL" w:hint="cs"/>
          <w:color w:val="000000"/>
          <w:spacing w:val="1"/>
          <w:rtl/>
          <w:lang w:eastAsia="ja-JP"/>
        </w:rPr>
        <w:t>, בשנת 2004. רצף מוסדיים הוקמה כ</w:t>
      </w:r>
      <w:r w:rsidRPr="000D2197">
        <w:rPr>
          <w:rFonts w:ascii="Hadasa Roso SL" w:eastAsia="MS Mincho" w:hAnsi="Hadasa Roso SL"/>
          <w:color w:val="000000"/>
          <w:spacing w:val="1"/>
          <w:rtl/>
          <w:lang w:eastAsia="ja-JP"/>
        </w:rPr>
        <w:t xml:space="preserve">מערכת </w:t>
      </w:r>
      <w:r w:rsidRPr="000D2197">
        <w:rPr>
          <w:rFonts w:ascii="Hadasa Roso SL" w:eastAsia="MS Mincho" w:hAnsi="Hadasa Roso SL" w:hint="cs"/>
          <w:color w:val="000000"/>
          <w:spacing w:val="1"/>
          <w:rtl/>
          <w:lang w:eastAsia="ja-JP"/>
        </w:rPr>
        <w:t xml:space="preserve">למסחר בתעודות התחייבות (אג"ח) שלא הונפקו לציבור, הנסחרות בשיטה הדומה למסחר באג"ח שהונפקו לציבור. </w:t>
      </w:r>
      <w:r w:rsidR="003B3977">
        <w:rPr>
          <w:rFonts w:ascii="Hadasa Roso SL" w:eastAsia="MS Mincho" w:hAnsi="Hadasa Roso SL" w:hint="cs"/>
          <w:color w:val="000000"/>
          <w:spacing w:val="1"/>
          <w:rtl/>
          <w:lang w:eastAsia="ja-JP"/>
        </w:rPr>
        <w:t xml:space="preserve">הגישה </w:t>
      </w:r>
      <w:r w:rsidRPr="000D2197">
        <w:rPr>
          <w:rFonts w:ascii="Hadasa Roso SL" w:eastAsia="MS Mincho" w:hAnsi="Hadasa Roso SL" w:hint="cs"/>
          <w:color w:val="000000"/>
          <w:spacing w:val="1"/>
          <w:rtl/>
          <w:lang w:eastAsia="ja-JP"/>
        </w:rPr>
        <w:t>למסחר ברצף מוסדיים</w:t>
      </w:r>
      <w:r w:rsidRPr="000D2197">
        <w:rPr>
          <w:rFonts w:ascii="Hadasa Roso SL" w:eastAsia="MS Mincho" w:hAnsi="Hadasa Roso SL"/>
          <w:color w:val="000000"/>
          <w:spacing w:val="1"/>
          <w:rtl/>
          <w:lang w:eastAsia="ja-JP"/>
        </w:rPr>
        <w:t xml:space="preserve"> </w:t>
      </w:r>
      <w:r w:rsidRPr="000D2197">
        <w:rPr>
          <w:rFonts w:ascii="Hadasa Roso SL" w:eastAsia="MS Mincho" w:hAnsi="Hadasa Roso SL" w:hint="cs"/>
          <w:color w:val="000000"/>
          <w:spacing w:val="1"/>
          <w:rtl/>
          <w:lang w:eastAsia="ja-JP"/>
        </w:rPr>
        <w:t>מת</w:t>
      </w:r>
      <w:r w:rsidRPr="000D2197">
        <w:rPr>
          <w:rFonts w:ascii="Hadasa Roso SL" w:eastAsia="MS Mincho" w:hAnsi="Hadasa Roso SL"/>
          <w:color w:val="000000"/>
          <w:spacing w:val="1"/>
          <w:rtl/>
          <w:lang w:eastAsia="ja-JP"/>
        </w:rPr>
        <w:t>אפשר</w:t>
      </w:r>
      <w:r w:rsidRPr="000D2197">
        <w:rPr>
          <w:rFonts w:ascii="Hadasa Roso SL" w:eastAsia="MS Mincho" w:hAnsi="Hadasa Roso SL" w:hint="cs"/>
          <w:color w:val="000000"/>
          <w:spacing w:val="1"/>
          <w:rtl/>
          <w:lang w:eastAsia="ja-JP"/>
        </w:rPr>
        <w:t xml:space="preserve">ת, באמצעות חברי הבורסה, רק </w:t>
      </w:r>
      <w:r w:rsidRPr="000D2197">
        <w:rPr>
          <w:rFonts w:ascii="Hadasa Roso SL" w:eastAsia="MS Mincho" w:hAnsi="Hadasa Roso SL"/>
          <w:color w:val="000000"/>
          <w:spacing w:val="1"/>
          <w:rtl/>
          <w:lang w:eastAsia="ja-JP"/>
        </w:rPr>
        <w:t>למשקיעים</w:t>
      </w:r>
      <w:r w:rsidRPr="000D2197">
        <w:rPr>
          <w:rFonts w:ascii="Hadasa Roso SL" w:eastAsia="MS Mincho" w:hAnsi="Hadasa Roso SL" w:hint="cs"/>
          <w:color w:val="000000"/>
          <w:spacing w:val="1"/>
          <w:rtl/>
          <w:lang w:eastAsia="ja-JP"/>
        </w:rPr>
        <w:t xml:space="preserve"> כשירים</w:t>
      </w:r>
      <w:r w:rsidRPr="000D2197">
        <w:rPr>
          <w:rFonts w:ascii="Hadasa Roso SL" w:eastAsia="MS Mincho" w:hAnsi="Hadasa Roso SL"/>
          <w:color w:val="000000"/>
          <w:spacing w:val="1"/>
          <w:rtl/>
          <w:lang w:eastAsia="ja-JP"/>
        </w:rPr>
        <w:t xml:space="preserve"> </w:t>
      </w:r>
      <w:r w:rsidRPr="000D2197">
        <w:rPr>
          <w:rFonts w:ascii="Hadasa Roso SL" w:eastAsia="MS Mincho" w:hAnsi="Hadasa Roso SL" w:hint="cs"/>
          <w:color w:val="000000"/>
          <w:spacing w:val="1"/>
          <w:rtl/>
          <w:lang w:eastAsia="ja-JP"/>
        </w:rPr>
        <w:t>כמשמעותם בסעיף 15א(ב)(1) ו-(2) לחוק ניירות ערך, התשכ"ח-1968, הכוללים משקיעים מוסדיים ומשקיעים כשירים נוספים.</w:t>
      </w:r>
      <w:r w:rsidRPr="000D2197">
        <w:rPr>
          <w:rFonts w:ascii="Hadasa Roso SL" w:eastAsia="MS Mincho" w:hAnsi="Hadasa Roso SL"/>
          <w:color w:val="000000"/>
          <w:spacing w:val="1"/>
          <w:rtl/>
          <w:lang w:eastAsia="ja-JP"/>
        </w:rPr>
        <w:t xml:space="preserve"> </w:t>
      </w:r>
    </w:p>
    <w:p w:rsidR="00122671" w:rsidRPr="000D2197" w:rsidRDefault="00122671" w:rsidP="007937FB">
      <w:pPr>
        <w:spacing w:before="120" w:after="120"/>
        <w:contextualSpacing w:val="0"/>
        <w:rPr>
          <w:rFonts w:ascii="Calibri" w:eastAsia="Calibri" w:hAnsi="Calibri"/>
          <w:rtl/>
        </w:rPr>
      </w:pPr>
      <w:r w:rsidRPr="000D2197">
        <w:rPr>
          <w:rFonts w:ascii="Calibri" w:eastAsia="Calibri" w:hAnsi="Calibri" w:hint="cs"/>
          <w:rtl/>
        </w:rPr>
        <w:t xml:space="preserve">במאי 2020 התירה הרשות הרחבה </w:t>
      </w:r>
      <w:proofErr w:type="spellStart"/>
      <w:r w:rsidRPr="000D2197">
        <w:rPr>
          <w:rFonts w:ascii="Calibri" w:eastAsia="Calibri" w:hAnsi="Calibri" w:hint="cs"/>
          <w:rtl/>
        </w:rPr>
        <w:t>מסויימת</w:t>
      </w:r>
      <w:proofErr w:type="spellEnd"/>
      <w:r w:rsidRPr="000D2197">
        <w:rPr>
          <w:rFonts w:ascii="Calibri" w:eastAsia="Calibri" w:hAnsi="Calibri" w:hint="cs"/>
          <w:rtl/>
        </w:rPr>
        <w:t xml:space="preserve"> במסחר ברצף המוסדיים</w:t>
      </w:r>
      <w:r w:rsidR="00553388">
        <w:rPr>
          <w:rFonts w:ascii="Calibri" w:eastAsia="Calibri" w:hAnsi="Calibri" w:hint="cs"/>
          <w:rtl/>
        </w:rPr>
        <w:t xml:space="preserve"> שנקבעה בתקנון הבורסה,</w:t>
      </w:r>
      <w:r w:rsidRPr="000D2197">
        <w:rPr>
          <w:rFonts w:ascii="Calibri" w:eastAsia="Calibri" w:hAnsi="Calibri" w:hint="cs"/>
          <w:rtl/>
        </w:rPr>
        <w:t xml:space="preserve"> כך שניתן יהיה לרשום למסחר גם ניירות ערך שאינם תעודות התחייבות, של תאגידים ושותפויות שעיקר עיסוקם בתחומים הבאים: מקרקעין ונדל"ן להשקעה </w:t>
      </w:r>
      <w:r w:rsidRPr="000D2197">
        <w:rPr>
          <w:rFonts w:ascii="Calibri" w:eastAsia="Calibri" w:hAnsi="Calibri"/>
          <w:rtl/>
        </w:rPr>
        <w:t>–</w:t>
      </w:r>
      <w:r w:rsidRPr="000D2197">
        <w:rPr>
          <w:rFonts w:ascii="Calibri" w:eastAsia="Calibri" w:hAnsi="Calibri" w:hint="cs"/>
          <w:rtl/>
        </w:rPr>
        <w:t xml:space="preserve"> לתקופה מוגבלת; מחקר ופיתוח; ומתן פתרונות מימון לעסקים לרבות במסגרת תכניות סיוע ממשלתיות</w:t>
      </w:r>
      <w:r w:rsidR="00331A05">
        <w:rPr>
          <w:rFonts w:ascii="Calibri" w:eastAsia="Calibri" w:hAnsi="Calibri" w:hint="cs"/>
          <w:rtl/>
        </w:rPr>
        <w:t xml:space="preserve"> (</w:t>
      </w:r>
      <w:r w:rsidR="00553388">
        <w:rPr>
          <w:rFonts w:ascii="Calibri" w:eastAsia="Calibri" w:hAnsi="Calibri" w:hint="cs"/>
          <w:rtl/>
        </w:rPr>
        <w:t>ראו הגדרת "תאגיד כשיר למניות מוסדיים" בחלק השלישי בתקנון הבורסה)</w:t>
      </w:r>
      <w:r w:rsidRPr="000D2197">
        <w:rPr>
          <w:rFonts w:ascii="Calibri" w:eastAsia="Calibri" w:hAnsi="Calibri" w:hint="cs"/>
          <w:rtl/>
        </w:rPr>
        <w:t>.</w:t>
      </w:r>
    </w:p>
    <w:p w:rsidR="00122671" w:rsidRPr="000D2197" w:rsidRDefault="00122671" w:rsidP="001370B9">
      <w:pPr>
        <w:spacing w:before="120" w:after="120"/>
        <w:contextualSpacing w:val="0"/>
        <w:rPr>
          <w:rFonts w:ascii="Cambria" w:eastAsia="Calibri" w:hAnsi="Cambria"/>
          <w:spacing w:val="1"/>
          <w:rtl/>
        </w:rPr>
      </w:pPr>
      <w:r w:rsidRPr="000D2197">
        <w:rPr>
          <w:rFonts w:ascii="Cambria" w:eastAsia="Calibri" w:hAnsi="Cambria" w:hint="cs"/>
          <w:spacing w:val="1"/>
          <w:rtl/>
        </w:rPr>
        <w:t xml:space="preserve">כיום מותר למנהלי קרנות, ככלל, לקנות ולהחזיק ניירות ערך הרשומים למסחר בבורסה. </w:t>
      </w:r>
      <w:r w:rsidRPr="000D2197">
        <w:rPr>
          <w:rFonts w:ascii="Cambria" w:eastAsia="Calibri" w:hAnsi="Cambria" w:hint="cs"/>
          <w:spacing w:val="1"/>
          <w:rtl/>
        </w:rPr>
        <w:lastRenderedPageBreak/>
        <w:t>לצד זה, רשאים מנהלי הקרנות להחזיק נכסים שאינם נסחרים</w:t>
      </w:r>
      <w:r w:rsidR="00D22907">
        <w:rPr>
          <w:rFonts w:ascii="Cambria" w:eastAsia="Calibri" w:hAnsi="Cambria" w:hint="cs"/>
          <w:spacing w:val="1"/>
          <w:rtl/>
        </w:rPr>
        <w:t xml:space="preserve"> (עד 10% </w:t>
      </w:r>
      <w:r w:rsidR="00C8161F">
        <w:rPr>
          <w:rFonts w:ascii="Cambria" w:eastAsia="Calibri" w:hAnsi="Cambria" w:hint="cs"/>
          <w:spacing w:val="1"/>
          <w:rtl/>
        </w:rPr>
        <w:t>משווי נכסי הקרן)</w:t>
      </w:r>
      <w:r w:rsidRPr="000D2197">
        <w:rPr>
          <w:rFonts w:ascii="Cambria" w:eastAsia="Calibri" w:hAnsi="Cambria" w:hint="cs"/>
          <w:spacing w:val="1"/>
          <w:rtl/>
        </w:rPr>
        <w:t xml:space="preserve"> כגון זכויות והתחייבויות לפי עסקאות החלף (</w:t>
      </w:r>
      <w:r w:rsidRPr="000D2197">
        <w:rPr>
          <w:rFonts w:ascii="Cambria" w:eastAsia="Calibri" w:hAnsi="Cambria" w:hint="cs"/>
          <w:spacing w:val="1"/>
        </w:rPr>
        <w:t>SWAP</w:t>
      </w:r>
      <w:r w:rsidRPr="000D2197">
        <w:rPr>
          <w:rFonts w:ascii="Cambria" w:eastAsia="Calibri" w:hAnsi="Cambria" w:hint="cs"/>
          <w:spacing w:val="1"/>
          <w:rtl/>
        </w:rPr>
        <w:t>) חוזי אקדמה (</w:t>
      </w:r>
      <w:r w:rsidRPr="000D2197">
        <w:rPr>
          <w:rFonts w:ascii="Cambria" w:eastAsia="Calibri" w:hAnsi="Cambria" w:hint="cs"/>
          <w:spacing w:val="1"/>
        </w:rPr>
        <w:t>FORWARD</w:t>
      </w:r>
      <w:r w:rsidRPr="000D2197">
        <w:rPr>
          <w:rFonts w:ascii="Cambria" w:eastAsia="Calibri" w:hAnsi="Cambria" w:hint="cs"/>
          <w:spacing w:val="1"/>
          <w:rtl/>
        </w:rPr>
        <w:t xml:space="preserve">), אופציות וחוזים עתידיים או אגרות חוב הרשומות </w:t>
      </w:r>
      <w:r w:rsidR="00463A37">
        <w:rPr>
          <w:rFonts w:ascii="Cambria" w:eastAsia="Calibri" w:hAnsi="Cambria" w:hint="cs"/>
          <w:spacing w:val="1"/>
          <w:rtl/>
        </w:rPr>
        <w:t>ברצ</w:t>
      </w:r>
      <w:r w:rsidR="001370B9">
        <w:rPr>
          <w:rFonts w:ascii="Cambria" w:eastAsia="Calibri" w:hAnsi="Cambria" w:hint="cs"/>
          <w:spacing w:val="1"/>
          <w:rtl/>
        </w:rPr>
        <w:t>ף</w:t>
      </w:r>
      <w:r w:rsidR="00463A37">
        <w:rPr>
          <w:rFonts w:ascii="Cambria" w:eastAsia="Calibri" w:hAnsi="Cambria" w:hint="cs"/>
          <w:spacing w:val="1"/>
          <w:rtl/>
        </w:rPr>
        <w:t xml:space="preserve"> המוסדיים</w:t>
      </w:r>
      <w:r w:rsidRPr="000D2197">
        <w:rPr>
          <w:rFonts w:ascii="Cambria" w:eastAsia="Calibri" w:hAnsi="Cambria" w:hint="cs"/>
          <w:spacing w:val="1"/>
          <w:rtl/>
        </w:rPr>
        <w:t>, ובלבד שהתקיימו בהן התנאים הקבועים ב</w:t>
      </w:r>
      <w:r w:rsidRPr="000D2197">
        <w:rPr>
          <w:rFonts w:ascii="Cambria" w:eastAsia="Calibri" w:hAnsi="Cambria"/>
          <w:spacing w:val="1"/>
          <w:rtl/>
        </w:rPr>
        <w:t xml:space="preserve">תקנות השקעות משותפות בנאמנות (נכסים שמותר לקנות ולהחזיק בקרן ושיעוריהם המרביים), </w:t>
      </w:r>
      <w:r w:rsidRPr="000D2197">
        <w:rPr>
          <w:rFonts w:ascii="Cambria" w:eastAsia="Calibri" w:hAnsi="Cambria" w:hint="cs"/>
          <w:spacing w:val="1"/>
          <w:rtl/>
        </w:rPr>
        <w:t>ה</w:t>
      </w:r>
      <w:r w:rsidRPr="000D2197">
        <w:rPr>
          <w:rFonts w:ascii="Cambria" w:eastAsia="Calibri" w:hAnsi="Cambria"/>
          <w:spacing w:val="1"/>
          <w:rtl/>
        </w:rPr>
        <w:t>תשנ"ה</w:t>
      </w:r>
      <w:r w:rsidRPr="000D2197">
        <w:rPr>
          <w:rFonts w:ascii="Cambria" w:eastAsia="Calibri" w:hAnsi="Cambria" w:hint="cs"/>
          <w:spacing w:val="1"/>
          <w:rtl/>
        </w:rPr>
        <w:t>-</w:t>
      </w:r>
      <w:r w:rsidRPr="000D2197">
        <w:rPr>
          <w:rFonts w:ascii="Cambria" w:eastAsia="Calibri" w:hAnsi="Cambria"/>
          <w:spacing w:val="1"/>
          <w:rtl/>
        </w:rPr>
        <w:t>1994</w:t>
      </w:r>
      <w:r w:rsidRPr="000D2197">
        <w:rPr>
          <w:rFonts w:ascii="Cambria" w:eastAsia="Calibri" w:hAnsi="Cambria" w:hint="cs"/>
          <w:spacing w:val="1"/>
          <w:rtl/>
        </w:rPr>
        <w:t xml:space="preserve"> (להלן </w:t>
      </w:r>
      <w:r w:rsidRPr="000D2197">
        <w:rPr>
          <w:rFonts w:ascii="Cambria" w:eastAsia="Calibri" w:hAnsi="Cambria"/>
          <w:spacing w:val="1"/>
          <w:rtl/>
        </w:rPr>
        <w:t>–</w:t>
      </w:r>
      <w:r w:rsidRPr="000D2197">
        <w:rPr>
          <w:rFonts w:ascii="Cambria" w:eastAsia="Calibri" w:hAnsi="Cambria" w:hint="cs"/>
          <w:spacing w:val="1"/>
          <w:rtl/>
        </w:rPr>
        <w:t xml:space="preserve"> </w:t>
      </w:r>
      <w:r w:rsidR="008761D8" w:rsidRPr="007937FB">
        <w:rPr>
          <w:rFonts w:ascii="Cambria" w:eastAsia="Calibri" w:hAnsi="Cambria" w:hint="cs"/>
          <w:b/>
          <w:bCs/>
          <w:spacing w:val="1"/>
          <w:rtl/>
        </w:rPr>
        <w:t>התקנות</w:t>
      </w:r>
      <w:r w:rsidRPr="000D2197">
        <w:rPr>
          <w:rFonts w:ascii="Cambria" w:eastAsia="Calibri" w:hAnsi="Cambria" w:hint="cs"/>
          <w:spacing w:val="1"/>
          <w:rtl/>
        </w:rPr>
        <w:t>)</w:t>
      </w:r>
      <w:r w:rsidRPr="000D2197" w:rsidDel="00853F68">
        <w:rPr>
          <w:rFonts w:ascii="Cambria" w:eastAsia="Calibri" w:hAnsi="Cambria" w:hint="cs"/>
          <w:spacing w:val="1"/>
          <w:rtl/>
        </w:rPr>
        <w:t xml:space="preserve"> </w:t>
      </w:r>
      <w:r w:rsidRPr="000D2197">
        <w:rPr>
          <w:rFonts w:ascii="Cambria" w:eastAsia="Calibri" w:hAnsi="Cambria" w:hint="cs"/>
          <w:spacing w:val="1"/>
          <w:rtl/>
        </w:rPr>
        <w:t xml:space="preserve"> ובהם, בין היתר, מגבלות לעניין דירוג אגרת החוב; היות אגרת החוב בלתי המירה ועוד. מגבלת ההשקעה ברצף המוסדיים באגרות חוב בלבד נבעה מההגבלה שהייתה קיימת ברצף המוסדיים לפיה לא ניתן היה לסחור בו במניות. לאור החלטת הרשות בעניין </w:t>
      </w:r>
      <w:r w:rsidRPr="000D2197">
        <w:rPr>
          <w:rFonts w:ascii="Calibri" w:eastAsia="Calibri" w:hAnsi="Calibri" w:hint="cs"/>
          <w:rtl/>
        </w:rPr>
        <w:t xml:space="preserve">הרחבה וגיוון של ניירות הערך הנסחרים </w:t>
      </w:r>
      <w:r w:rsidRPr="000D2197">
        <w:rPr>
          <w:rFonts w:ascii="Cambria" w:eastAsia="Calibri" w:hAnsi="Cambria" w:hint="cs"/>
          <w:spacing w:val="1"/>
          <w:rtl/>
        </w:rPr>
        <w:t>ברצף המוסדיים</w:t>
      </w:r>
      <w:r w:rsidR="00D2344B">
        <w:rPr>
          <w:rFonts w:ascii="Cambria" w:eastAsia="Calibri" w:hAnsi="Cambria" w:hint="cs"/>
          <w:spacing w:val="1"/>
          <w:rtl/>
        </w:rPr>
        <w:t>,</w:t>
      </w:r>
      <w:r w:rsidRPr="000D2197">
        <w:rPr>
          <w:rFonts w:ascii="Cambria" w:eastAsia="Calibri" w:hAnsi="Cambria" w:hint="cs"/>
          <w:spacing w:val="1"/>
          <w:rtl/>
        </w:rPr>
        <w:t xml:space="preserve"> </w:t>
      </w:r>
      <w:r w:rsidR="004C78FF">
        <w:rPr>
          <w:rFonts w:ascii="Cambria" w:eastAsia="Calibri" w:hAnsi="Cambria" w:hint="cs"/>
          <w:spacing w:val="1"/>
          <w:rtl/>
        </w:rPr>
        <w:t>וכחלק מעידוד ופיתוח שוק ההון בישראל,</w:t>
      </w:r>
      <w:r w:rsidR="004C78FF" w:rsidRPr="000D2197">
        <w:rPr>
          <w:rFonts w:ascii="Cambria" w:eastAsia="Calibri" w:hAnsi="Cambria" w:hint="cs"/>
          <w:spacing w:val="1"/>
          <w:rtl/>
        </w:rPr>
        <w:t xml:space="preserve"> </w:t>
      </w:r>
      <w:r w:rsidRPr="000D2197">
        <w:rPr>
          <w:rFonts w:ascii="Cambria" w:eastAsia="Calibri" w:hAnsi="Cambria" w:hint="cs"/>
          <w:spacing w:val="1"/>
          <w:rtl/>
        </w:rPr>
        <w:t xml:space="preserve">ניתן כעת להרחיב את היצע ניירות הערך שמנהלי קרנות הנאמנות יכולים לקנות ולהחזיק בעד הקרנות שבניהולם בהתאם. </w:t>
      </w:r>
    </w:p>
    <w:p w:rsidR="00122671" w:rsidRDefault="00045170" w:rsidP="0020156E">
      <w:pPr>
        <w:spacing w:before="120" w:after="120"/>
        <w:contextualSpacing w:val="0"/>
        <w:rPr>
          <w:rFonts w:ascii="Cambria" w:eastAsia="Calibri" w:hAnsi="Cambria"/>
          <w:spacing w:val="1"/>
          <w:rtl/>
        </w:rPr>
      </w:pPr>
      <w:r>
        <w:rPr>
          <w:rFonts w:ascii="Cambria" w:eastAsia="Calibri" w:hAnsi="Cambria" w:hint="cs"/>
          <w:spacing w:val="1"/>
          <w:rtl/>
        </w:rPr>
        <w:t>מנגד, הרחבה כאמור, צריכה להתחשב גם</w:t>
      </w:r>
      <w:r w:rsidR="00122671" w:rsidRPr="000D2197">
        <w:rPr>
          <w:rFonts w:ascii="Cambria" w:eastAsia="Calibri" w:hAnsi="Cambria" w:hint="cs"/>
          <w:spacing w:val="1"/>
          <w:rtl/>
        </w:rPr>
        <w:t xml:space="preserve"> </w:t>
      </w:r>
      <w:r>
        <w:rPr>
          <w:rFonts w:ascii="Cambria" w:eastAsia="Calibri" w:hAnsi="Cambria" w:hint="cs"/>
          <w:spacing w:val="1"/>
          <w:rtl/>
        </w:rPr>
        <w:t>ב</w:t>
      </w:r>
      <w:r w:rsidR="00122671" w:rsidRPr="000D2197">
        <w:rPr>
          <w:rFonts w:ascii="Cambria" w:eastAsia="Calibri" w:hAnsi="Cambria" w:hint="cs"/>
          <w:spacing w:val="1"/>
          <w:rtl/>
        </w:rPr>
        <w:t xml:space="preserve">מאפייני המסחר ברצף המוסדיים וניירות הערך הנסחרים באמצעותו </w:t>
      </w:r>
      <w:r>
        <w:rPr>
          <w:rFonts w:ascii="Cambria" w:eastAsia="Calibri" w:hAnsi="Cambria" w:hint="cs"/>
          <w:spacing w:val="1"/>
          <w:rtl/>
        </w:rPr>
        <w:t xml:space="preserve">ואשר </w:t>
      </w:r>
      <w:r w:rsidR="00122671" w:rsidRPr="000D2197">
        <w:rPr>
          <w:rFonts w:ascii="Cambria" w:eastAsia="Calibri" w:hAnsi="Cambria" w:hint="cs"/>
          <w:spacing w:val="1"/>
          <w:rtl/>
        </w:rPr>
        <w:t xml:space="preserve">יכולים לטמון בחובם סיכונים. כך, ניירות ערך הנסחרים ברצף המוסדיים הם ככלל בעלי היקף מסחר יומי נמוך יותר, דבר המשפיע על </w:t>
      </w:r>
      <w:proofErr w:type="spellStart"/>
      <w:r w:rsidR="00122671" w:rsidRPr="000D2197">
        <w:rPr>
          <w:rFonts w:ascii="Cambria" w:eastAsia="Calibri" w:hAnsi="Cambria" w:hint="cs"/>
          <w:spacing w:val="1"/>
          <w:rtl/>
        </w:rPr>
        <w:t>סחירותם</w:t>
      </w:r>
      <w:proofErr w:type="spellEnd"/>
      <w:r w:rsidR="00122671" w:rsidRPr="000D2197">
        <w:rPr>
          <w:rFonts w:ascii="Cambria" w:eastAsia="Calibri" w:hAnsi="Cambria" w:hint="cs"/>
          <w:spacing w:val="1"/>
          <w:rtl/>
        </w:rPr>
        <w:t xml:space="preserve"> ועל היכולת לשערך אותם באופן מהימן; המידע הראשוני והשוטף אודותיהם מוגבל ביותר, בשל העדר חובה לפרסם תשקיף ולהגיש דיווחים עיתיים לרשות </w:t>
      </w:r>
      <w:r w:rsidR="00122671" w:rsidRPr="000D2197">
        <w:rPr>
          <w:rFonts w:ascii="Cambria" w:eastAsia="Calibri" w:hAnsi="Cambria" w:hint="eastAsia"/>
          <w:spacing w:val="1"/>
          <w:rtl/>
        </w:rPr>
        <w:t>ולבורסה</w:t>
      </w:r>
      <w:r w:rsidR="00122671" w:rsidRPr="000D2197">
        <w:rPr>
          <w:rFonts w:ascii="Cambria" w:eastAsia="Calibri" w:hAnsi="Cambria"/>
          <w:spacing w:val="1"/>
          <w:rtl/>
        </w:rPr>
        <w:t xml:space="preserve"> </w:t>
      </w:r>
      <w:r w:rsidR="00122671" w:rsidRPr="000D2197">
        <w:rPr>
          <w:rFonts w:ascii="Cambria" w:eastAsia="Calibri" w:hAnsi="Cambria" w:hint="cs"/>
          <w:spacing w:val="1"/>
          <w:rtl/>
        </w:rPr>
        <w:t>ועוד.</w:t>
      </w:r>
    </w:p>
    <w:p w:rsidR="00725669" w:rsidRDefault="00EB755C" w:rsidP="00312879">
      <w:pPr>
        <w:spacing w:before="120" w:after="120"/>
        <w:contextualSpacing w:val="0"/>
        <w:rPr>
          <w:rFonts w:eastAsia="MS Mincho"/>
          <w:spacing w:val="1"/>
          <w:shd w:val="clear" w:color="auto" w:fill="FFFFFF"/>
          <w:rtl/>
        </w:rPr>
      </w:pPr>
      <w:r>
        <w:rPr>
          <w:rFonts w:ascii="Cambria" w:eastAsia="Calibri" w:hAnsi="Cambria" w:hint="cs"/>
          <w:spacing w:val="1"/>
          <w:rtl/>
        </w:rPr>
        <w:t xml:space="preserve">עם זאת, </w:t>
      </w:r>
      <w:r w:rsidR="008D33A9">
        <w:rPr>
          <w:rFonts w:ascii="Cambria" w:eastAsia="Calibri" w:hAnsi="Cambria" w:hint="cs"/>
          <w:spacing w:val="1"/>
          <w:rtl/>
        </w:rPr>
        <w:t>יחד עם סיכונים אלו</w:t>
      </w:r>
      <w:r w:rsidR="001E4DEA">
        <w:rPr>
          <w:rFonts w:ascii="Cambria" w:eastAsia="Calibri" w:hAnsi="Cambria" w:hint="cs"/>
          <w:spacing w:val="1"/>
          <w:rtl/>
        </w:rPr>
        <w:t>, מאז החל המסחר ברצף המוסדיים</w:t>
      </w:r>
      <w:r w:rsidR="008D33A9">
        <w:rPr>
          <w:rFonts w:ascii="Cambria" w:eastAsia="Calibri" w:hAnsi="Cambria" w:hint="cs"/>
          <w:spacing w:val="1"/>
          <w:rtl/>
        </w:rPr>
        <w:t xml:space="preserve"> </w:t>
      </w:r>
      <w:r w:rsidR="001E4DEA">
        <w:rPr>
          <w:rFonts w:ascii="Cambria" w:eastAsia="Calibri" w:hAnsi="Cambria" w:hint="cs"/>
          <w:spacing w:val="1"/>
          <w:rtl/>
        </w:rPr>
        <w:t>התרחשו מספר שינויים</w:t>
      </w:r>
      <w:r w:rsidR="008D33A9">
        <w:rPr>
          <w:rFonts w:ascii="Cambria" w:eastAsia="Calibri" w:hAnsi="Cambria" w:hint="cs"/>
          <w:spacing w:val="1"/>
          <w:rtl/>
        </w:rPr>
        <w:t xml:space="preserve"> אשר </w:t>
      </w:r>
      <w:r w:rsidR="00B11B1F">
        <w:rPr>
          <w:rFonts w:ascii="Cambria" w:eastAsia="Calibri" w:hAnsi="Cambria" w:hint="cs"/>
          <w:spacing w:val="1"/>
          <w:rtl/>
        </w:rPr>
        <w:t>תומכים</w:t>
      </w:r>
      <w:r w:rsidR="008255D7">
        <w:rPr>
          <w:rFonts w:ascii="Cambria" w:eastAsia="Calibri" w:hAnsi="Cambria" w:hint="cs"/>
          <w:spacing w:val="1"/>
          <w:rtl/>
        </w:rPr>
        <w:t xml:space="preserve"> </w:t>
      </w:r>
      <w:r w:rsidR="00B11B1F">
        <w:rPr>
          <w:rFonts w:ascii="Cambria" w:eastAsia="Calibri" w:hAnsi="Cambria" w:hint="cs"/>
          <w:spacing w:val="1"/>
          <w:rtl/>
        </w:rPr>
        <w:t>ב</w:t>
      </w:r>
      <w:r w:rsidR="00A526C1">
        <w:rPr>
          <w:rFonts w:ascii="Cambria" w:eastAsia="Calibri" w:hAnsi="Cambria" w:hint="cs"/>
          <w:spacing w:val="1"/>
          <w:rtl/>
        </w:rPr>
        <w:t>הרחבת יכולתו של מנהל קרן</w:t>
      </w:r>
      <w:r w:rsidR="008255D7">
        <w:rPr>
          <w:rFonts w:ascii="Cambria" w:eastAsia="Calibri" w:hAnsi="Cambria" w:hint="cs"/>
          <w:spacing w:val="1"/>
          <w:rtl/>
        </w:rPr>
        <w:t xml:space="preserve"> </w:t>
      </w:r>
      <w:r w:rsidR="00A526C1">
        <w:rPr>
          <w:rFonts w:ascii="Cambria" w:eastAsia="Calibri" w:hAnsi="Cambria" w:hint="cs"/>
          <w:spacing w:val="1"/>
          <w:rtl/>
        </w:rPr>
        <w:t>לקנות ולהחזיק</w:t>
      </w:r>
      <w:r w:rsidR="008255D7">
        <w:rPr>
          <w:rFonts w:ascii="Cambria" w:eastAsia="Calibri" w:hAnsi="Cambria" w:hint="cs"/>
          <w:spacing w:val="1"/>
          <w:rtl/>
        </w:rPr>
        <w:t xml:space="preserve"> ניירות ערך הנסחרים ב</w:t>
      </w:r>
      <w:r w:rsidR="00A526C1">
        <w:rPr>
          <w:rFonts w:ascii="Cambria" w:eastAsia="Calibri" w:hAnsi="Cambria" w:hint="cs"/>
          <w:spacing w:val="1"/>
          <w:rtl/>
        </w:rPr>
        <w:t>רצף</w:t>
      </w:r>
      <w:r w:rsidR="008255D7">
        <w:rPr>
          <w:rFonts w:ascii="Cambria" w:eastAsia="Calibri" w:hAnsi="Cambria" w:hint="cs"/>
          <w:spacing w:val="1"/>
          <w:rtl/>
        </w:rPr>
        <w:t xml:space="preserve"> המוסדיים. </w:t>
      </w:r>
      <w:r w:rsidR="003B3977">
        <w:rPr>
          <w:rFonts w:ascii="Cambria" w:eastAsia="Calibri" w:hAnsi="Cambria" w:hint="cs"/>
          <w:spacing w:val="1"/>
          <w:rtl/>
        </w:rPr>
        <w:t>בנוסף,</w:t>
      </w:r>
      <w:r w:rsidR="00725669">
        <w:rPr>
          <w:rFonts w:ascii="Cambria" w:eastAsia="Calibri" w:hAnsi="Cambria" w:hint="cs"/>
          <w:spacing w:val="1"/>
          <w:rtl/>
        </w:rPr>
        <w:t xml:space="preserve"> </w:t>
      </w:r>
      <w:r w:rsidR="00725669" w:rsidRPr="000D2197">
        <w:rPr>
          <w:rFonts w:ascii="Cambria" w:eastAsia="Calibri" w:hAnsi="Cambria" w:hint="cs"/>
          <w:spacing w:val="1"/>
          <w:rtl/>
        </w:rPr>
        <w:t>התנאים שנקבעו בתקנות באשר לאגרות חוב ולתעודות התחייבות מובנות נבעו מהצורך לוודא כי ניירות ערך כאמור הם בעלי סחירות מינימאלית המאפשרת נזילות בקרן, וכן כי מחיר ניירות הערך כאמור יהיה ראוי והוגן. עם זאת, בשנים שחלפו מאז הקמת רצף המוסדיים, הצטבר ניסיון באשר למאפייני אגרות החוב ותעודות ההתחייבות המובנות שנסחרו בו, המאפשר ניהול נזילות בקרן ללא צורך בתנאי הסף הקבועים בתקנות. במקביל לכך, פרסמה הרשות הוראה למנהלי הקרנות ולנאמנים בדבר ניהול סיכונים, המטילה חובה לנהל באופן מושכל את הסיכונים הכרוכים בניהול הקרן, ובכלל זה את סיכון הנזילות. בהוראה זו הובהרה חובתם של מנהלי הקרנות לקיים</w:t>
      </w:r>
      <w:r w:rsidR="00725669" w:rsidRPr="000D2197">
        <w:rPr>
          <w:rFonts w:ascii="Cambria" w:eastAsia="Calibri" w:hAnsi="Cambria"/>
          <w:spacing w:val="1"/>
          <w:rtl/>
        </w:rPr>
        <w:t xml:space="preserve"> תהליכים סדורים ותרבות ארגונית נאותה לז</w:t>
      </w:r>
      <w:r w:rsidR="00725669" w:rsidRPr="000D2197">
        <w:rPr>
          <w:rFonts w:ascii="Cambria" w:eastAsia="Calibri" w:hAnsi="Cambria" w:hint="cs"/>
          <w:spacing w:val="1"/>
          <w:rtl/>
        </w:rPr>
        <w:t>יהוי</w:t>
      </w:r>
      <w:r w:rsidR="00725669" w:rsidRPr="000D2197">
        <w:rPr>
          <w:rFonts w:ascii="Cambria" w:eastAsia="Calibri" w:hAnsi="Cambria"/>
          <w:spacing w:val="1"/>
          <w:rtl/>
        </w:rPr>
        <w:t xml:space="preserve"> </w:t>
      </w:r>
      <w:r w:rsidR="00725669" w:rsidRPr="000D2197">
        <w:rPr>
          <w:rFonts w:ascii="Cambria" w:eastAsia="Calibri" w:hAnsi="Cambria" w:hint="cs"/>
          <w:spacing w:val="1"/>
          <w:rtl/>
        </w:rPr>
        <w:t xml:space="preserve">וניהול </w:t>
      </w:r>
      <w:r w:rsidR="00725669" w:rsidRPr="000D2197">
        <w:rPr>
          <w:rFonts w:ascii="Cambria" w:eastAsia="Calibri" w:hAnsi="Cambria"/>
          <w:spacing w:val="1"/>
          <w:rtl/>
        </w:rPr>
        <w:t>סיכונים</w:t>
      </w:r>
      <w:r w:rsidR="00725669" w:rsidRPr="000D2197">
        <w:rPr>
          <w:rFonts w:ascii="Cambria" w:eastAsia="Calibri" w:hAnsi="Cambria" w:hint="cs"/>
          <w:spacing w:val="1"/>
          <w:rtl/>
        </w:rPr>
        <w:t>. לאור הוראה זו מנהלי הקרנות חייבים לזהות ולנהל גם את הסיכונים הכרוכים בהשקעה בניירות ערך ברצף המוסדיים, אם החליטו להשקיע בהם בעד הקרן שבניהולם.</w:t>
      </w:r>
      <w:r w:rsidR="00725669" w:rsidRPr="005546EC">
        <w:rPr>
          <w:rFonts w:eastAsia="MS Mincho" w:hint="cs"/>
          <w:spacing w:val="1"/>
          <w:shd w:val="clear" w:color="auto" w:fill="FFFFFF"/>
          <w:rtl/>
        </w:rPr>
        <w:t xml:space="preserve"> </w:t>
      </w:r>
      <w:r w:rsidR="00AD3E03" w:rsidRPr="000D2197">
        <w:rPr>
          <w:rFonts w:ascii="Cambria" w:eastAsia="Calibri" w:hAnsi="Cambria" w:hint="cs"/>
          <w:spacing w:val="1"/>
          <w:rtl/>
        </w:rPr>
        <w:t>כך, הסדרת האפשרות להשקיע בניירות ערך ברצף המוסדיים מתאימה למסגרת מבוססת עקרונות, חלף הסדרה מבוססת כללים נוקשים, שאינה מאפשרת התאמה למצב השוק המשתנה.</w:t>
      </w:r>
    </w:p>
    <w:p w:rsidR="00122671" w:rsidRDefault="00122671" w:rsidP="0020156E">
      <w:pPr>
        <w:spacing w:before="120" w:after="120"/>
        <w:contextualSpacing w:val="0"/>
        <w:rPr>
          <w:rFonts w:ascii="Cambria" w:eastAsia="Calibri" w:hAnsi="Cambria"/>
          <w:spacing w:val="1"/>
          <w:rtl/>
        </w:rPr>
      </w:pPr>
      <w:r w:rsidRPr="000D2197">
        <w:rPr>
          <w:rFonts w:ascii="Cambria" w:eastAsia="Calibri" w:hAnsi="Cambria" w:hint="cs"/>
          <w:spacing w:val="1"/>
          <w:rtl/>
        </w:rPr>
        <w:t xml:space="preserve">כדי לבחון את השפעת הרחבת האפשרות לקנות ולהחזיק בקרנות נאמנות ניירות ערך הנסחרים ברצף המוסדיים, מעבר למותר כבר כיום בהתאם לתקנות, קבעה הרשות כללים לעניין זה בהוראה זמנית מכוח סעיף 65א לחוק השקעות משותפות בנאמנות, התשנ"ד-1994, </w:t>
      </w:r>
      <w:r w:rsidR="006301C8">
        <w:rPr>
          <w:rFonts w:ascii="Cambria" w:eastAsia="Calibri" w:hAnsi="Cambria" w:hint="cs"/>
          <w:spacing w:val="1"/>
          <w:rtl/>
        </w:rPr>
        <w:t>שנכנסה לתוקף</w:t>
      </w:r>
      <w:r w:rsidR="009575A5">
        <w:rPr>
          <w:rFonts w:ascii="Cambria" w:eastAsia="Calibri" w:hAnsi="Cambria" w:hint="cs"/>
          <w:spacing w:val="1"/>
          <w:rtl/>
        </w:rPr>
        <w:t xml:space="preserve"> </w:t>
      </w:r>
      <w:r w:rsidRPr="000D2197">
        <w:rPr>
          <w:rFonts w:ascii="Cambria" w:eastAsia="Calibri" w:hAnsi="Cambria" w:hint="cs"/>
          <w:spacing w:val="1"/>
          <w:rtl/>
        </w:rPr>
        <w:t>ביום</w:t>
      </w:r>
      <w:r w:rsidR="00AA7730">
        <w:rPr>
          <w:rFonts w:ascii="Cambria" w:eastAsia="Calibri" w:hAnsi="Cambria" w:hint="cs"/>
          <w:spacing w:val="1"/>
          <w:rtl/>
        </w:rPr>
        <w:t xml:space="preserve"> 11.10.2020. </w:t>
      </w:r>
      <w:r w:rsidR="00C4763C">
        <w:rPr>
          <w:rFonts w:ascii="Cambria" w:eastAsia="Calibri" w:hAnsi="Cambria" w:hint="cs"/>
          <w:spacing w:val="1"/>
          <w:rtl/>
        </w:rPr>
        <w:t>הוראה זמנית זו הוארכה</w:t>
      </w:r>
      <w:r w:rsidR="00AA7730">
        <w:rPr>
          <w:rFonts w:ascii="Cambria" w:eastAsia="Calibri" w:hAnsi="Cambria" w:hint="cs"/>
          <w:spacing w:val="1"/>
          <w:rtl/>
        </w:rPr>
        <w:t xml:space="preserve"> על ידי הרשות בשנה נוספת</w:t>
      </w:r>
      <w:r w:rsidR="00C4763C">
        <w:rPr>
          <w:rFonts w:ascii="Cambria" w:eastAsia="Calibri" w:hAnsi="Cambria" w:hint="cs"/>
          <w:spacing w:val="1"/>
          <w:rtl/>
        </w:rPr>
        <w:t xml:space="preserve"> </w:t>
      </w:r>
      <w:r w:rsidR="00C4763C">
        <w:rPr>
          <w:rFonts w:ascii="Cambria" w:eastAsia="Calibri" w:hAnsi="Cambria" w:hint="cs"/>
          <w:spacing w:val="1"/>
          <w:rtl/>
        </w:rPr>
        <w:lastRenderedPageBreak/>
        <w:t>וצפויה ל</w:t>
      </w:r>
      <w:r w:rsidR="00AA7730">
        <w:rPr>
          <w:rFonts w:ascii="Cambria" w:eastAsia="Calibri" w:hAnsi="Cambria" w:hint="cs"/>
          <w:spacing w:val="1"/>
          <w:rtl/>
        </w:rPr>
        <w:t>פוג</w:t>
      </w:r>
      <w:r w:rsidR="00C4763C">
        <w:rPr>
          <w:rFonts w:ascii="Cambria" w:eastAsia="Calibri" w:hAnsi="Cambria" w:hint="cs"/>
          <w:spacing w:val="1"/>
          <w:rtl/>
        </w:rPr>
        <w:t xml:space="preserve"> ב</w:t>
      </w:r>
      <w:r w:rsidR="00AA7730">
        <w:rPr>
          <w:rFonts w:ascii="Cambria" w:eastAsia="Calibri" w:hAnsi="Cambria" w:hint="cs"/>
          <w:spacing w:val="1"/>
          <w:rtl/>
        </w:rPr>
        <w:t>יום</w:t>
      </w:r>
      <w:r w:rsidR="00C4763C">
        <w:rPr>
          <w:rFonts w:ascii="Cambria" w:eastAsia="Calibri" w:hAnsi="Cambria" w:hint="cs"/>
          <w:spacing w:val="1"/>
          <w:rtl/>
        </w:rPr>
        <w:t xml:space="preserve"> 11.4.2023</w:t>
      </w:r>
      <w:r w:rsidR="00AA7730">
        <w:rPr>
          <w:rFonts w:ascii="Cambria" w:eastAsia="Calibri" w:hAnsi="Cambria" w:hint="cs"/>
          <w:spacing w:val="1"/>
          <w:rtl/>
        </w:rPr>
        <w:t xml:space="preserve">. </w:t>
      </w:r>
      <w:r w:rsidR="008761D8">
        <w:rPr>
          <w:rFonts w:ascii="Cambria" w:eastAsia="Calibri" w:hAnsi="Cambria" w:hint="cs"/>
          <w:spacing w:val="1"/>
          <w:rtl/>
        </w:rPr>
        <w:t xml:space="preserve">מכיוון </w:t>
      </w:r>
      <w:r w:rsidR="00D2344B">
        <w:rPr>
          <w:rFonts w:ascii="Cambria" w:eastAsia="Calibri" w:hAnsi="Cambria" w:hint="cs"/>
          <w:spacing w:val="1"/>
          <w:rtl/>
        </w:rPr>
        <w:t>ש</w:t>
      </w:r>
      <w:r w:rsidR="007E49C5" w:rsidRPr="000D2197">
        <w:rPr>
          <w:rFonts w:eastAsia="MS Mincho"/>
          <w:spacing w:val="1"/>
          <w:shd w:val="clear" w:color="auto" w:fill="FFFFFF"/>
          <w:rtl/>
        </w:rPr>
        <w:t xml:space="preserve">בזמן שחלף מיום תחילת ההוראה הזמנית </w:t>
      </w:r>
      <w:r w:rsidR="007E49C5">
        <w:rPr>
          <w:rFonts w:eastAsia="MS Mincho" w:hint="cs"/>
          <w:spacing w:val="1"/>
          <w:shd w:val="clear" w:color="auto" w:fill="FFFFFF"/>
          <w:rtl/>
        </w:rPr>
        <w:t>לא זוהתה</w:t>
      </w:r>
      <w:r w:rsidR="007E49C5" w:rsidRPr="000D2197">
        <w:rPr>
          <w:rFonts w:eastAsia="MS Mincho"/>
          <w:spacing w:val="1"/>
          <w:shd w:val="clear" w:color="auto" w:fill="FFFFFF"/>
          <w:rtl/>
        </w:rPr>
        <w:t xml:space="preserve"> התפתחות היוצרת סיכון מוגבר לציבור המשקיעים כתוצאה מהרחבת האפשרות לרכישת ניירות ערך הנסחרים ברצף המוסדיים לסוגי ניירות ערך חדשים</w:t>
      </w:r>
      <w:r w:rsidR="007E49C5">
        <w:rPr>
          <w:rFonts w:eastAsia="MS Mincho" w:hint="cs"/>
          <w:spacing w:val="1"/>
          <w:shd w:val="clear" w:color="auto" w:fill="FFFFFF"/>
          <w:rtl/>
        </w:rPr>
        <w:t>, מוצע</w:t>
      </w:r>
      <w:r w:rsidR="007E49C5" w:rsidRPr="000D2197">
        <w:rPr>
          <w:rFonts w:eastAsia="MS Mincho"/>
          <w:spacing w:val="1"/>
          <w:shd w:val="clear" w:color="auto" w:fill="FFFFFF"/>
          <w:rtl/>
        </w:rPr>
        <w:t xml:space="preserve"> </w:t>
      </w:r>
      <w:r w:rsidR="00AA7730">
        <w:rPr>
          <w:rFonts w:ascii="Cambria" w:eastAsia="Calibri" w:hAnsi="Cambria" w:hint="cs"/>
          <w:spacing w:val="1"/>
          <w:rtl/>
        </w:rPr>
        <w:t>ל</w:t>
      </w:r>
      <w:r w:rsidR="00BC4A48">
        <w:rPr>
          <w:rFonts w:ascii="Cambria" w:eastAsia="Calibri" w:hAnsi="Cambria" w:hint="cs"/>
          <w:spacing w:val="1"/>
          <w:rtl/>
        </w:rPr>
        <w:t>ע</w:t>
      </w:r>
      <w:r w:rsidR="00AA7730">
        <w:rPr>
          <w:rFonts w:ascii="Cambria" w:eastAsia="Calibri" w:hAnsi="Cambria" w:hint="cs"/>
          <w:spacing w:val="1"/>
          <w:rtl/>
        </w:rPr>
        <w:t>גן את</w:t>
      </w:r>
      <w:r w:rsidR="00BC4A48">
        <w:rPr>
          <w:rFonts w:ascii="Cambria" w:eastAsia="Calibri" w:hAnsi="Cambria" w:hint="cs"/>
          <w:spacing w:val="1"/>
          <w:rtl/>
        </w:rPr>
        <w:t xml:space="preserve"> הכללים שנקבעו בהוראה הזמנית בתקנות קבועות</w:t>
      </w:r>
      <w:r w:rsidR="008F2F16">
        <w:rPr>
          <w:rFonts w:ascii="Cambria" w:eastAsia="Calibri" w:hAnsi="Cambria" w:hint="cs"/>
          <w:spacing w:val="1"/>
          <w:rtl/>
        </w:rPr>
        <w:t>.</w:t>
      </w:r>
    </w:p>
    <w:p w:rsidR="00AB0922" w:rsidRDefault="005546EC" w:rsidP="00AB0922">
      <w:pPr>
        <w:spacing w:before="120" w:after="120"/>
        <w:contextualSpacing w:val="0"/>
        <w:rPr>
          <w:rFonts w:ascii="Cambria" w:eastAsia="Calibri" w:hAnsi="Cambria"/>
          <w:spacing w:val="1"/>
          <w:rtl/>
        </w:rPr>
      </w:pPr>
      <w:r w:rsidRPr="000D2197">
        <w:rPr>
          <w:rFonts w:eastAsia="MS Mincho" w:hint="cs"/>
          <w:spacing w:val="1"/>
          <w:shd w:val="clear" w:color="auto" w:fill="FFFFFF"/>
          <w:rtl/>
        </w:rPr>
        <w:t>לאור האמור, מוצע לתקן את התקנות</w:t>
      </w:r>
      <w:r w:rsidR="00CE0521">
        <w:rPr>
          <w:rFonts w:eastAsia="MS Mincho" w:hint="cs"/>
          <w:spacing w:val="1"/>
          <w:shd w:val="clear" w:color="auto" w:fill="FFFFFF"/>
          <w:rtl/>
        </w:rPr>
        <w:t xml:space="preserve"> </w:t>
      </w:r>
      <w:r w:rsidR="00FD0C7C">
        <w:rPr>
          <w:rFonts w:eastAsia="MS Mincho" w:hint="cs"/>
          <w:spacing w:val="1"/>
          <w:shd w:val="clear" w:color="auto" w:fill="FFFFFF"/>
          <w:rtl/>
        </w:rPr>
        <w:t>ול</w:t>
      </w:r>
      <w:r w:rsidR="00522040">
        <w:rPr>
          <w:rFonts w:eastAsia="MS Mincho" w:hint="cs"/>
          <w:spacing w:val="1"/>
          <w:shd w:val="clear" w:color="auto" w:fill="FFFFFF"/>
          <w:rtl/>
        </w:rPr>
        <w:t>בטל</w:t>
      </w:r>
      <w:r w:rsidR="00FD0C7C">
        <w:rPr>
          <w:rFonts w:eastAsia="MS Mincho" w:hint="cs"/>
          <w:spacing w:val="1"/>
          <w:shd w:val="clear" w:color="auto" w:fill="FFFFFF"/>
          <w:rtl/>
        </w:rPr>
        <w:t xml:space="preserve"> את המגבלות שנקבעו בהן לעניין קנייה והחזקה של אגרות חוב בלבד הנסחרות ברצף המוסדיים, כמו גם </w:t>
      </w:r>
      <w:r w:rsidR="0015630D">
        <w:rPr>
          <w:rFonts w:eastAsia="MS Mincho" w:hint="cs"/>
          <w:spacing w:val="1"/>
          <w:shd w:val="clear" w:color="auto" w:fill="FFFFFF"/>
          <w:rtl/>
        </w:rPr>
        <w:t>ל</w:t>
      </w:r>
      <w:r w:rsidR="00522040">
        <w:rPr>
          <w:rFonts w:eastAsia="MS Mincho" w:hint="cs"/>
          <w:spacing w:val="1"/>
          <w:shd w:val="clear" w:color="auto" w:fill="FFFFFF"/>
          <w:rtl/>
        </w:rPr>
        <w:t>בטל</w:t>
      </w:r>
      <w:r w:rsidR="0015630D">
        <w:rPr>
          <w:rFonts w:eastAsia="MS Mincho" w:hint="cs"/>
          <w:spacing w:val="1"/>
          <w:shd w:val="clear" w:color="auto" w:fill="FFFFFF"/>
          <w:rtl/>
        </w:rPr>
        <w:t xml:space="preserve"> את דרישות הסף להחזקת</w:t>
      </w:r>
      <w:r w:rsidR="00FD0C7C">
        <w:rPr>
          <w:rFonts w:eastAsia="MS Mincho" w:hint="cs"/>
          <w:spacing w:val="1"/>
          <w:shd w:val="clear" w:color="auto" w:fill="FFFFFF"/>
          <w:rtl/>
        </w:rPr>
        <w:t xml:space="preserve"> אגרות חוב אלו</w:t>
      </w:r>
      <w:r w:rsidR="0015630D">
        <w:rPr>
          <w:rFonts w:eastAsia="MS Mincho" w:hint="cs"/>
          <w:spacing w:val="1"/>
          <w:shd w:val="clear" w:color="auto" w:fill="FFFFFF"/>
          <w:rtl/>
        </w:rPr>
        <w:t>. חלף זאת, מוצע לקבוע</w:t>
      </w:r>
      <w:r w:rsidR="00FD0C7C">
        <w:rPr>
          <w:rFonts w:eastAsia="MS Mincho" w:hint="cs"/>
          <w:spacing w:val="1"/>
          <w:shd w:val="clear" w:color="auto" w:fill="FFFFFF"/>
          <w:rtl/>
        </w:rPr>
        <w:t xml:space="preserve"> בתקנות</w:t>
      </w:r>
      <w:r w:rsidR="00CE0521">
        <w:rPr>
          <w:rFonts w:eastAsia="MS Mincho" w:hint="cs"/>
          <w:spacing w:val="1"/>
          <w:shd w:val="clear" w:color="auto" w:fill="FFFFFF"/>
          <w:rtl/>
        </w:rPr>
        <w:t xml:space="preserve"> כי </w:t>
      </w:r>
      <w:r w:rsidRPr="000D2197">
        <w:rPr>
          <w:rFonts w:eastAsia="MS Mincho" w:hint="cs"/>
          <w:spacing w:val="1"/>
          <w:shd w:val="clear" w:color="auto" w:fill="FFFFFF"/>
          <w:rtl/>
        </w:rPr>
        <w:t>החשיפה למנפיק ברצף המוסדיים תוגבל ל-2.5% משווי נכסי הקרן,</w:t>
      </w:r>
      <w:r w:rsidR="00646F42" w:rsidRPr="00646F42">
        <w:rPr>
          <w:rFonts w:eastAsia="MS Mincho" w:hint="cs"/>
          <w:spacing w:val="1"/>
          <w:shd w:val="clear" w:color="auto" w:fill="FFFFFF"/>
          <w:rtl/>
        </w:rPr>
        <w:t xml:space="preserve"> </w:t>
      </w:r>
      <w:r w:rsidR="00646F42">
        <w:rPr>
          <w:rFonts w:eastAsia="MS Mincho" w:hint="cs"/>
          <w:spacing w:val="1"/>
          <w:shd w:val="clear" w:color="auto" w:fill="FFFFFF"/>
          <w:rtl/>
        </w:rPr>
        <w:t xml:space="preserve">במטרה להבטיח </w:t>
      </w:r>
      <w:r w:rsidR="00646F42" w:rsidRPr="000D2197">
        <w:rPr>
          <w:rFonts w:eastAsia="MS Mincho" w:hint="cs"/>
          <w:spacing w:val="1"/>
          <w:shd w:val="clear" w:color="auto" w:fill="FFFFFF"/>
          <w:rtl/>
        </w:rPr>
        <w:t xml:space="preserve">פיזור מינימאלי בעת החזקה </w:t>
      </w:r>
      <w:proofErr w:type="spellStart"/>
      <w:r w:rsidR="00646F42" w:rsidRPr="000D2197">
        <w:rPr>
          <w:rFonts w:eastAsia="MS Mincho" w:hint="cs"/>
          <w:spacing w:val="1"/>
          <w:shd w:val="clear" w:color="auto" w:fill="FFFFFF"/>
          <w:rtl/>
        </w:rPr>
        <w:t>מירבית</w:t>
      </w:r>
      <w:proofErr w:type="spellEnd"/>
      <w:r w:rsidR="00646F42" w:rsidRPr="000D2197">
        <w:rPr>
          <w:rFonts w:eastAsia="MS Mincho" w:hint="cs"/>
          <w:spacing w:val="1"/>
          <w:shd w:val="clear" w:color="auto" w:fill="FFFFFF"/>
          <w:rtl/>
        </w:rPr>
        <w:t xml:space="preserve"> בנכסים הנסחרים ברצף המוסדיים.</w:t>
      </w:r>
      <w:r w:rsidR="00646F42">
        <w:rPr>
          <w:rFonts w:eastAsia="MS Mincho" w:hint="cs"/>
          <w:spacing w:val="1"/>
          <w:shd w:val="clear" w:color="auto" w:fill="FFFFFF"/>
          <w:rtl/>
        </w:rPr>
        <w:t xml:space="preserve"> בנוסף, מוצע לקבוע בתקנות כי </w:t>
      </w:r>
      <w:r w:rsidRPr="000D2197">
        <w:rPr>
          <w:rFonts w:eastAsia="MS Mincho" w:hint="cs"/>
          <w:spacing w:val="1"/>
          <w:shd w:val="clear" w:color="auto" w:fill="FFFFFF"/>
          <w:rtl/>
        </w:rPr>
        <w:t>נכסים הנסחרים ברצף המוסדיים יחשב</w:t>
      </w:r>
      <w:r w:rsidR="005744BF">
        <w:rPr>
          <w:rFonts w:eastAsia="MS Mincho" w:hint="cs"/>
          <w:spacing w:val="1"/>
          <w:shd w:val="clear" w:color="auto" w:fill="FFFFFF"/>
          <w:rtl/>
        </w:rPr>
        <w:t>ו</w:t>
      </w:r>
      <w:r w:rsidRPr="000D2197">
        <w:rPr>
          <w:rFonts w:eastAsia="MS Mincho" w:hint="cs"/>
          <w:spacing w:val="1"/>
          <w:shd w:val="clear" w:color="auto" w:fill="FFFFFF"/>
          <w:rtl/>
        </w:rPr>
        <w:t xml:space="preserve"> לנכס שאינו נסחר, ו</w:t>
      </w:r>
      <w:r w:rsidR="005744BF">
        <w:rPr>
          <w:rFonts w:eastAsia="MS Mincho" w:hint="cs"/>
          <w:spacing w:val="1"/>
          <w:shd w:val="clear" w:color="auto" w:fill="FFFFFF"/>
          <w:rtl/>
        </w:rPr>
        <w:t xml:space="preserve">משכך חשיפת קרן נאמנות לנכסים כאמור </w:t>
      </w:r>
      <w:r w:rsidRPr="000D2197">
        <w:rPr>
          <w:rFonts w:eastAsia="MS Mincho" w:hint="cs"/>
          <w:spacing w:val="1"/>
          <w:shd w:val="clear" w:color="auto" w:fill="FFFFFF"/>
          <w:rtl/>
        </w:rPr>
        <w:t xml:space="preserve">תוגבל, עם הנכסים האחרים שאינם נסחרים, ל-10% משווי נכסי הקרן. </w:t>
      </w:r>
      <w:r w:rsidR="005744BF">
        <w:rPr>
          <w:rFonts w:ascii="Cambria" w:eastAsia="Calibri" w:hAnsi="Cambria" w:hint="cs"/>
          <w:spacing w:val="1"/>
          <w:rtl/>
        </w:rPr>
        <w:t xml:space="preserve">כיון </w:t>
      </w:r>
      <w:r w:rsidRPr="000D2197">
        <w:rPr>
          <w:rFonts w:ascii="Cambria" w:eastAsia="Calibri" w:hAnsi="Cambria" w:hint="cs"/>
          <w:spacing w:val="1"/>
          <w:rtl/>
        </w:rPr>
        <w:t>שגם כיום קיימת אפשרות להחזקה של סל נכסים לא סחירים בשיעור של עד 10% משווי נכסי הקרן</w:t>
      </w:r>
      <w:r w:rsidR="005744BF">
        <w:rPr>
          <w:rFonts w:ascii="Cambria" w:eastAsia="Calibri" w:hAnsi="Cambria" w:hint="cs"/>
          <w:spacing w:val="1"/>
          <w:rtl/>
        </w:rPr>
        <w:t>, הרי ש</w:t>
      </w:r>
      <w:r w:rsidRPr="000D2197">
        <w:rPr>
          <w:rFonts w:ascii="Cambria" w:eastAsia="Calibri" w:hAnsi="Cambria" w:hint="cs"/>
          <w:spacing w:val="1"/>
          <w:rtl/>
        </w:rPr>
        <w:t xml:space="preserve">השקעה בנכסים הנסחרים ברצף המוסדיים לא </w:t>
      </w:r>
      <w:r w:rsidR="0015630D">
        <w:rPr>
          <w:rFonts w:ascii="Cambria" w:eastAsia="Calibri" w:hAnsi="Cambria" w:hint="cs"/>
          <w:spacing w:val="1"/>
          <w:rtl/>
        </w:rPr>
        <w:t>תגדיל</w:t>
      </w:r>
      <w:r w:rsidRPr="000D2197">
        <w:rPr>
          <w:rFonts w:ascii="Cambria" w:eastAsia="Calibri" w:hAnsi="Cambria" w:hint="cs"/>
          <w:spacing w:val="1"/>
          <w:rtl/>
        </w:rPr>
        <w:t xml:space="preserve"> את היקף החשיפה של הקרן לנכסים לא סחירים.</w:t>
      </w:r>
      <w:r w:rsidR="005D0CBE">
        <w:rPr>
          <w:rFonts w:eastAsia="MS Mincho" w:hint="cs"/>
          <w:spacing w:val="1"/>
          <w:shd w:val="clear" w:color="auto" w:fill="FFFFFF"/>
          <w:rtl/>
        </w:rPr>
        <w:t xml:space="preserve"> </w:t>
      </w:r>
      <w:r w:rsidR="00AB0922">
        <w:rPr>
          <w:rFonts w:eastAsia="MS Mincho" w:hint="cs"/>
          <w:spacing w:val="1"/>
          <w:shd w:val="clear" w:color="auto" w:fill="FFFFFF"/>
          <w:rtl/>
        </w:rPr>
        <w:t xml:space="preserve">עם </w:t>
      </w:r>
      <w:r w:rsidR="000A585F">
        <w:rPr>
          <w:rFonts w:eastAsia="MS Mincho" w:hint="cs"/>
          <w:spacing w:val="1"/>
          <w:shd w:val="clear" w:color="auto" w:fill="FFFFFF"/>
          <w:rtl/>
        </w:rPr>
        <w:t>זאת</w:t>
      </w:r>
      <w:r w:rsidR="00AB0922">
        <w:rPr>
          <w:rFonts w:eastAsia="MS Mincho" w:hint="cs"/>
          <w:spacing w:val="1"/>
          <w:shd w:val="clear" w:color="auto" w:fill="FFFFFF"/>
          <w:rtl/>
        </w:rPr>
        <w:t>,</w:t>
      </w:r>
      <w:r w:rsidR="000A585F">
        <w:rPr>
          <w:rFonts w:eastAsia="MS Mincho" w:hint="cs"/>
          <w:spacing w:val="1"/>
          <w:shd w:val="clear" w:color="auto" w:fill="FFFFFF"/>
          <w:rtl/>
        </w:rPr>
        <w:t xml:space="preserve"> </w:t>
      </w:r>
      <w:r w:rsidR="00AB0922" w:rsidRPr="000D2197">
        <w:rPr>
          <w:rFonts w:ascii="Cambria" w:eastAsia="Calibri" w:hAnsi="Cambria" w:hint="cs"/>
          <w:spacing w:val="1"/>
          <w:rtl/>
        </w:rPr>
        <w:t>קרנות מועדים קבועים וקרנות סגורות שאינן קרנות סל, אשר אין בהן חובת פדיון יומי, ועל כן הרגישות שלהן לסיכוני נזילות נמוכה יותר, יורשו להחזיק ניירות ערך הנסחרים ברצף המוסדי בשיעור כפול מזה המותר ביתר הקרנות</w:t>
      </w:r>
      <w:r w:rsidR="00AB0922">
        <w:rPr>
          <w:rFonts w:ascii="Cambria" w:eastAsia="Calibri" w:hAnsi="Cambria" w:hint="cs"/>
          <w:spacing w:val="1"/>
          <w:rtl/>
        </w:rPr>
        <w:t>.</w:t>
      </w:r>
    </w:p>
    <w:p w:rsidR="005546EC" w:rsidRPr="000D2197" w:rsidRDefault="00AB0922" w:rsidP="005546EC">
      <w:pPr>
        <w:spacing w:before="120" w:after="120"/>
        <w:contextualSpacing w:val="0"/>
        <w:rPr>
          <w:rFonts w:ascii="Cambria" w:eastAsia="Calibri" w:hAnsi="Cambria"/>
          <w:spacing w:val="1"/>
          <w:rtl/>
        </w:rPr>
      </w:pPr>
      <w:r>
        <w:rPr>
          <w:rFonts w:ascii="Cambria" w:eastAsia="Calibri" w:hAnsi="Cambria" w:hint="cs"/>
          <w:spacing w:val="1"/>
          <w:rtl/>
        </w:rPr>
        <w:t>מגבלות אלה מקטינות</w:t>
      </w:r>
      <w:r w:rsidR="005744BF" w:rsidRPr="000D2197">
        <w:rPr>
          <w:rFonts w:ascii="Cambria" w:eastAsia="Calibri" w:hAnsi="Cambria" w:hint="cs"/>
          <w:spacing w:val="1"/>
          <w:rtl/>
        </w:rPr>
        <w:t xml:space="preserve"> משמעותית את החשש מפני פגיעה בנכסי הקרן</w:t>
      </w:r>
      <w:r w:rsidR="004F416B">
        <w:rPr>
          <w:rFonts w:ascii="Cambria" w:eastAsia="Calibri" w:hAnsi="Cambria" w:hint="cs"/>
          <w:spacing w:val="1"/>
          <w:rtl/>
        </w:rPr>
        <w:t>.</w:t>
      </w:r>
    </w:p>
    <w:p w:rsidR="005546EC" w:rsidRPr="000D2197" w:rsidRDefault="0015630D" w:rsidP="005546EC">
      <w:pPr>
        <w:spacing w:before="120" w:after="120"/>
        <w:contextualSpacing w:val="0"/>
        <w:rPr>
          <w:rFonts w:eastAsia="MS Mincho"/>
          <w:spacing w:val="1"/>
          <w:shd w:val="clear" w:color="auto" w:fill="FFFFFF"/>
          <w:rtl/>
        </w:rPr>
      </w:pPr>
      <w:r>
        <w:rPr>
          <w:rFonts w:eastAsia="MS Mincho" w:hint="cs"/>
          <w:spacing w:val="1"/>
          <w:shd w:val="clear" w:color="auto" w:fill="FFFFFF"/>
          <w:rtl/>
        </w:rPr>
        <w:t>עוד</w:t>
      </w:r>
      <w:r w:rsidR="005546EC" w:rsidRPr="000D2197">
        <w:rPr>
          <w:rFonts w:eastAsia="MS Mincho" w:hint="cs"/>
          <w:spacing w:val="1"/>
          <w:shd w:val="clear" w:color="auto" w:fill="FFFFFF"/>
          <w:rtl/>
        </w:rPr>
        <w:t xml:space="preserve"> </w:t>
      </w:r>
      <w:r w:rsidR="005546EC">
        <w:rPr>
          <w:rFonts w:eastAsia="MS Mincho" w:hint="cs"/>
          <w:spacing w:val="1"/>
          <w:shd w:val="clear" w:color="auto" w:fill="FFFFFF"/>
          <w:rtl/>
        </w:rPr>
        <w:t xml:space="preserve">מוצע </w:t>
      </w:r>
      <w:r w:rsidR="005546EC" w:rsidRPr="000D2197">
        <w:rPr>
          <w:rFonts w:eastAsia="MS Mincho" w:hint="cs"/>
          <w:spacing w:val="1"/>
          <w:shd w:val="clear" w:color="auto" w:fill="FFFFFF"/>
          <w:rtl/>
        </w:rPr>
        <w:t xml:space="preserve">לבטל את ההבחנה הקיימת </w:t>
      </w:r>
      <w:r w:rsidR="005D0CBE">
        <w:rPr>
          <w:rFonts w:eastAsia="MS Mincho" w:hint="cs"/>
          <w:spacing w:val="1"/>
          <w:shd w:val="clear" w:color="auto" w:fill="FFFFFF"/>
          <w:rtl/>
        </w:rPr>
        <w:t xml:space="preserve">בתקנות </w:t>
      </w:r>
      <w:r w:rsidR="005546EC" w:rsidRPr="000D2197">
        <w:rPr>
          <w:rFonts w:eastAsia="MS Mincho" w:hint="cs"/>
          <w:spacing w:val="1"/>
          <w:shd w:val="clear" w:color="auto" w:fill="FFFFFF"/>
          <w:rtl/>
        </w:rPr>
        <w:t>בין תעודות התחייבות מובנות הנסחרות ברצף המוסדיים לבין ניירות ערך אחרים</w:t>
      </w:r>
      <w:r w:rsidR="005546EC">
        <w:rPr>
          <w:rFonts w:eastAsia="MS Mincho" w:hint="cs"/>
          <w:spacing w:val="1"/>
          <w:shd w:val="clear" w:color="auto" w:fill="FFFFFF"/>
          <w:rtl/>
        </w:rPr>
        <w:t xml:space="preserve"> הנסחרים ברצף המוסדיים</w:t>
      </w:r>
      <w:r w:rsidR="005546EC" w:rsidRPr="000D2197">
        <w:rPr>
          <w:rFonts w:eastAsia="MS Mincho" w:hint="cs"/>
          <w:spacing w:val="1"/>
          <w:shd w:val="clear" w:color="auto" w:fill="FFFFFF"/>
          <w:rtl/>
        </w:rPr>
        <w:t xml:space="preserve">. בתקנות בנוסחן היום קיימת הבחנה לגבי המגבלות הכמותיות החלות על מוצרים אלה, הנובעות מדרישות הסף השונות שקבועות לצורך התרת החזקת מוצרים אלה בקרן. מכיוון שמוצע לבטל את תנאי הסף ולהחליפם במגבלות כמותיות, אין היגיון בקביעת מגבלות כמותיות שונות, ויש להחיל את אותן מגבלות על כלל ניירות הערך הנסחרים ברצף המוסדיים.  </w:t>
      </w:r>
    </w:p>
    <w:p w:rsidR="005546EC" w:rsidRDefault="00522040" w:rsidP="006E1EAA">
      <w:pPr>
        <w:spacing w:before="120" w:after="120"/>
        <w:contextualSpacing w:val="0"/>
        <w:rPr>
          <w:rFonts w:ascii="Cambria" w:eastAsia="Calibri" w:hAnsi="Cambria"/>
          <w:spacing w:val="1"/>
          <w:rtl/>
        </w:rPr>
      </w:pPr>
      <w:r>
        <w:rPr>
          <w:rFonts w:ascii="Cambria" w:eastAsia="Calibri" w:hAnsi="Cambria" w:hint="cs"/>
          <w:spacing w:val="1"/>
          <w:rtl/>
        </w:rPr>
        <w:t xml:space="preserve">כמו כן, </w:t>
      </w:r>
      <w:r w:rsidR="00B11B1F">
        <w:rPr>
          <w:rFonts w:ascii="Cambria" w:eastAsia="Calibri" w:hAnsi="Cambria" w:hint="cs"/>
          <w:spacing w:val="1"/>
          <w:rtl/>
        </w:rPr>
        <w:t>מוצע לקבוע</w:t>
      </w:r>
      <w:r w:rsidR="005546EC">
        <w:rPr>
          <w:rFonts w:hint="cs"/>
          <w:rtl/>
        </w:rPr>
        <w:t xml:space="preserve"> כי לא</w:t>
      </w:r>
      <w:r w:rsidR="00122671" w:rsidRPr="000D2197">
        <w:rPr>
          <w:rFonts w:ascii="Cambria" w:eastAsia="Calibri" w:hAnsi="Cambria" w:hint="cs"/>
          <w:spacing w:val="1"/>
          <w:rtl/>
        </w:rPr>
        <w:t xml:space="preserve"> תתאפשר החזקה של ניירות ערך </w:t>
      </w:r>
      <w:r w:rsidR="00D10E2F">
        <w:rPr>
          <w:rFonts w:ascii="Cambria" w:eastAsia="Calibri" w:hAnsi="Cambria" w:hint="cs"/>
          <w:spacing w:val="1"/>
          <w:rtl/>
        </w:rPr>
        <w:t>הנסחרים ברצף המוסדיים</w:t>
      </w:r>
      <w:r w:rsidR="00122671" w:rsidRPr="000D2197">
        <w:rPr>
          <w:rFonts w:ascii="Cambria" w:eastAsia="Calibri" w:hAnsi="Cambria" w:hint="cs"/>
          <w:spacing w:val="1"/>
          <w:rtl/>
        </w:rPr>
        <w:t xml:space="preserve"> בקרנות שהוראות הדין קובעות לגביהן כללי השקעה ייחודיים ומגבילים, כגון קרנות מחקות וקרנות כספיות. </w:t>
      </w:r>
      <w:r w:rsidR="005546EC">
        <w:rPr>
          <w:rFonts w:ascii="Cambria" w:eastAsia="Calibri" w:hAnsi="Cambria" w:hint="cs"/>
          <w:spacing w:val="1"/>
          <w:rtl/>
        </w:rPr>
        <w:t xml:space="preserve"> </w:t>
      </w:r>
    </w:p>
    <w:p w:rsidR="00C204B0" w:rsidRDefault="00C204B0" w:rsidP="007937FB">
      <w:pPr>
        <w:spacing w:before="120" w:after="120"/>
        <w:contextualSpacing w:val="0"/>
      </w:pPr>
    </w:p>
    <w:sectPr w:rsidR="00C204B0" w:rsidSect="003549D7">
      <w:pgSz w:w="11906" w:h="16838"/>
      <w:pgMar w:top="1701" w:right="1134" w:bottom="1417"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E6E" w:rsidRDefault="00EC5E6E" w:rsidP="009F37D3">
      <w:pPr>
        <w:spacing w:line="240" w:lineRule="auto"/>
      </w:pPr>
      <w:r>
        <w:separator/>
      </w:r>
    </w:p>
  </w:endnote>
  <w:endnote w:type="continuationSeparator" w:id="0">
    <w:p w:rsidR="00EC5E6E" w:rsidRDefault="00EC5E6E" w:rsidP="009F3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adasa Roso SL">
    <w:altName w:val="Times New Roman"/>
    <w:charset w:val="00"/>
    <w:family w:val="roman"/>
    <w:pitch w:val="variable"/>
    <w:sig w:usb0="80001827" w:usb1="5000004A" w:usb2="0000002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E6E" w:rsidRDefault="00EC5E6E" w:rsidP="009F37D3">
      <w:pPr>
        <w:spacing w:line="240" w:lineRule="auto"/>
      </w:pPr>
      <w:r>
        <w:separator/>
      </w:r>
    </w:p>
  </w:footnote>
  <w:footnote w:type="continuationSeparator" w:id="0">
    <w:p w:rsidR="00EC5E6E" w:rsidRDefault="00EC5E6E" w:rsidP="009F37D3">
      <w:pPr>
        <w:spacing w:line="240" w:lineRule="auto"/>
      </w:pPr>
      <w:r>
        <w:continuationSeparator/>
      </w:r>
    </w:p>
  </w:footnote>
  <w:footnote w:id="1">
    <w:p w:rsidR="00BF2ABE" w:rsidRDefault="00BF2ABE">
      <w:pPr>
        <w:pStyle w:val="a5"/>
        <w:rPr>
          <w:rtl/>
        </w:rPr>
      </w:pPr>
      <w:r>
        <w:rPr>
          <w:rStyle w:val="a7"/>
        </w:rPr>
        <w:footnoteRef/>
      </w:r>
      <w:r>
        <w:rPr>
          <w:rtl/>
        </w:rPr>
        <w:t xml:space="preserve"> </w:t>
      </w:r>
      <w:r w:rsidR="006E1EAA">
        <w:rPr>
          <w:rFonts w:hint="cs"/>
          <w:rtl/>
        </w:rPr>
        <w:t xml:space="preserve">יושלם </w:t>
      </w:r>
    </w:p>
  </w:footnote>
  <w:footnote w:id="2">
    <w:p w:rsidR="00BF2ABE" w:rsidRDefault="00BF2ABE" w:rsidP="006E1EAA">
      <w:pPr>
        <w:pStyle w:val="a5"/>
        <w:rPr>
          <w:rtl/>
        </w:rPr>
      </w:pPr>
      <w:r>
        <w:rPr>
          <w:rStyle w:val="a7"/>
        </w:rPr>
        <w:footnoteRef/>
      </w:r>
      <w:r>
        <w:rPr>
          <w:rtl/>
        </w:rPr>
        <w:t xml:space="preserve"> </w:t>
      </w:r>
      <w:r w:rsidR="006E1EAA">
        <w:rPr>
          <w:rFonts w:hint="cs"/>
          <w:rtl/>
        </w:rPr>
        <w:t xml:space="preserve">יושלם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D29DE"/>
    <w:multiLevelType w:val="hybridMultilevel"/>
    <w:tmpl w:val="B9F225FE"/>
    <w:lvl w:ilvl="0" w:tplc="17D6C97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7A3A82"/>
    <w:multiLevelType w:val="hybridMultilevel"/>
    <w:tmpl w:val="81B80B3C"/>
    <w:lvl w:ilvl="0" w:tplc="070244E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A31CB5"/>
    <w:multiLevelType w:val="hybridMultilevel"/>
    <w:tmpl w:val="1826C8D4"/>
    <w:lvl w:ilvl="0" w:tplc="104EC8C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13"/>
  </w:num>
  <w:num w:numId="6">
    <w:abstractNumId w:val="18"/>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15"/>
  </w:num>
  <w:num w:numId="17">
    <w:abstractNumId w:val="15"/>
    <w:lvlOverride w:ilvl="0">
      <w:startOverride w:val="1"/>
    </w:lvlOverride>
  </w:num>
  <w:num w:numId="18">
    <w:abstractNumId w:val="12"/>
  </w:num>
  <w:num w:numId="19">
    <w:abstractNumId w:val="16"/>
  </w:num>
  <w:num w:numId="20">
    <w:abstractNumId w:val="11"/>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D7"/>
    <w:rsid w:val="000429D5"/>
    <w:rsid w:val="00045170"/>
    <w:rsid w:val="00052C7E"/>
    <w:rsid w:val="0005307C"/>
    <w:rsid w:val="000A585F"/>
    <w:rsid w:val="00107974"/>
    <w:rsid w:val="00111573"/>
    <w:rsid w:val="001142D5"/>
    <w:rsid w:val="00122671"/>
    <w:rsid w:val="001370B9"/>
    <w:rsid w:val="0015630D"/>
    <w:rsid w:val="00172480"/>
    <w:rsid w:val="001A6C2C"/>
    <w:rsid w:val="001E4DEA"/>
    <w:rsid w:val="0020156E"/>
    <w:rsid w:val="00215237"/>
    <w:rsid w:val="002B112D"/>
    <w:rsid w:val="002B1207"/>
    <w:rsid w:val="002E499E"/>
    <w:rsid w:val="002F7854"/>
    <w:rsid w:val="00312879"/>
    <w:rsid w:val="0031761D"/>
    <w:rsid w:val="00331A05"/>
    <w:rsid w:val="00336B64"/>
    <w:rsid w:val="003423C6"/>
    <w:rsid w:val="003549D7"/>
    <w:rsid w:val="003B3977"/>
    <w:rsid w:val="003E0A5D"/>
    <w:rsid w:val="00463A37"/>
    <w:rsid w:val="00495C25"/>
    <w:rsid w:val="004C78FF"/>
    <w:rsid w:val="004F416B"/>
    <w:rsid w:val="00522040"/>
    <w:rsid w:val="00543F86"/>
    <w:rsid w:val="00553388"/>
    <w:rsid w:val="005546EC"/>
    <w:rsid w:val="005744BF"/>
    <w:rsid w:val="005873C8"/>
    <w:rsid w:val="005D0CBE"/>
    <w:rsid w:val="005E3A8B"/>
    <w:rsid w:val="005F3AE3"/>
    <w:rsid w:val="006301C8"/>
    <w:rsid w:val="00646F42"/>
    <w:rsid w:val="00654907"/>
    <w:rsid w:val="0069672B"/>
    <w:rsid w:val="006D0195"/>
    <w:rsid w:val="006E1EAA"/>
    <w:rsid w:val="00725669"/>
    <w:rsid w:val="00777E8E"/>
    <w:rsid w:val="007937FB"/>
    <w:rsid w:val="007942AE"/>
    <w:rsid w:val="007E49C5"/>
    <w:rsid w:val="00813B83"/>
    <w:rsid w:val="00817242"/>
    <w:rsid w:val="008255D7"/>
    <w:rsid w:val="0084561C"/>
    <w:rsid w:val="008761D8"/>
    <w:rsid w:val="00884231"/>
    <w:rsid w:val="008D33A9"/>
    <w:rsid w:val="008F2F16"/>
    <w:rsid w:val="00952268"/>
    <w:rsid w:val="00952655"/>
    <w:rsid w:val="009575A5"/>
    <w:rsid w:val="00957D69"/>
    <w:rsid w:val="00991D12"/>
    <w:rsid w:val="009D2B83"/>
    <w:rsid w:val="009D5F54"/>
    <w:rsid w:val="009F37D3"/>
    <w:rsid w:val="00A0744D"/>
    <w:rsid w:val="00A231A5"/>
    <w:rsid w:val="00A526C1"/>
    <w:rsid w:val="00AA6991"/>
    <w:rsid w:val="00AA7730"/>
    <w:rsid w:val="00AB0922"/>
    <w:rsid w:val="00AD3E03"/>
    <w:rsid w:val="00B11B1F"/>
    <w:rsid w:val="00B40AA5"/>
    <w:rsid w:val="00B54848"/>
    <w:rsid w:val="00B61E2E"/>
    <w:rsid w:val="00B86F4A"/>
    <w:rsid w:val="00BB1629"/>
    <w:rsid w:val="00BC4A48"/>
    <w:rsid w:val="00BE20B0"/>
    <w:rsid w:val="00BF2ABE"/>
    <w:rsid w:val="00BF7FB1"/>
    <w:rsid w:val="00C204B0"/>
    <w:rsid w:val="00C4763C"/>
    <w:rsid w:val="00C8161F"/>
    <w:rsid w:val="00CE0521"/>
    <w:rsid w:val="00D10E2F"/>
    <w:rsid w:val="00D22907"/>
    <w:rsid w:val="00D2344B"/>
    <w:rsid w:val="00E16DB7"/>
    <w:rsid w:val="00E233D9"/>
    <w:rsid w:val="00E71964"/>
    <w:rsid w:val="00E75B09"/>
    <w:rsid w:val="00EB755C"/>
    <w:rsid w:val="00EC5E6E"/>
    <w:rsid w:val="00F71149"/>
    <w:rsid w:val="00F95E2A"/>
    <w:rsid w:val="00FD0C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D43BD-C6CC-4AC8-8B67-A100D4C2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D12"/>
    <w:pPr>
      <w:widowControl w:val="0"/>
      <w:bidi/>
      <w:spacing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991D1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991D1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991D1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991D12"/>
    <w:pPr>
      <w:numPr>
        <w:numId w:val="1"/>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991D12"/>
    <w:pPr>
      <w:spacing w:line="259" w:lineRule="auto"/>
      <w:outlineLvl w:val="4"/>
    </w:pPr>
    <w:rPr>
      <w:color w:val="000000" w:themeColor="text1"/>
    </w:rPr>
  </w:style>
  <w:style w:type="character" w:default="1" w:styleId="a0">
    <w:name w:val="Default Paragraph Font"/>
    <w:uiPriority w:val="1"/>
    <w:semiHidden/>
    <w:unhideWhenUsed/>
    <w:rsid w:val="00991D1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91D12"/>
  </w:style>
  <w:style w:type="character" w:customStyle="1" w:styleId="10">
    <w:name w:val="כותרת 1 תו"/>
    <w:basedOn w:val="a0"/>
    <w:link w:val="1"/>
    <w:uiPriority w:val="9"/>
    <w:rsid w:val="00991D12"/>
    <w:rPr>
      <w:rFonts w:asciiTheme="majorHAnsi" w:eastAsiaTheme="majorEastAsia" w:hAnsiTheme="majorHAnsi" w:cs="David"/>
      <w:bCs/>
      <w:sz w:val="32"/>
      <w:szCs w:val="36"/>
    </w:rPr>
  </w:style>
  <w:style w:type="character" w:customStyle="1" w:styleId="40">
    <w:name w:val="כותרת 4 תו"/>
    <w:basedOn w:val="a0"/>
    <w:link w:val="4"/>
    <w:uiPriority w:val="9"/>
    <w:rsid w:val="00991D12"/>
    <w:rPr>
      <w:rFonts w:ascii="David" w:hAnsi="David" w:cs="David"/>
      <w:b/>
      <w:bCs/>
      <w:color w:val="000000" w:themeColor="text1"/>
      <w:sz w:val="24"/>
      <w:szCs w:val="28"/>
    </w:rPr>
  </w:style>
  <w:style w:type="paragraph" w:customStyle="1" w:styleId="TableText">
    <w:name w:val="Table Text"/>
    <w:basedOn w:val="a"/>
    <w:rsid w:val="00991D1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991D12"/>
    <w:pPr>
      <w:outlineLvl w:val="2"/>
    </w:pPr>
  </w:style>
  <w:style w:type="paragraph" w:customStyle="1" w:styleId="TableBlock">
    <w:name w:val="Table Block"/>
    <w:basedOn w:val="TableText"/>
    <w:rsid w:val="00991D12"/>
    <w:pPr>
      <w:jc w:val="both"/>
    </w:pPr>
  </w:style>
  <w:style w:type="paragraph" w:customStyle="1" w:styleId="TableHead">
    <w:name w:val="Table Head"/>
    <w:basedOn w:val="TableText"/>
    <w:rsid w:val="00991D12"/>
    <w:pPr>
      <w:jc w:val="center"/>
      <w:outlineLvl w:val="1"/>
    </w:pPr>
    <w:rPr>
      <w:b/>
      <w:bCs/>
    </w:rPr>
  </w:style>
  <w:style w:type="paragraph" w:customStyle="1" w:styleId="HeadMitparsemetBaze">
    <w:name w:val="Head MitparsemetBaze"/>
    <w:basedOn w:val="a"/>
    <w:rsid w:val="00991D1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991D12"/>
    <w:pPr>
      <w:keepNext/>
      <w:keepLines/>
      <w:snapToGrid w:val="0"/>
      <w:spacing w:before="240"/>
      <w:jc w:val="center"/>
      <w:outlineLvl w:val="0"/>
    </w:pPr>
    <w:rPr>
      <w:rFonts w:ascii="Arial" w:eastAsia="Arial Unicode MS" w:hAnsi="Arial"/>
      <w:b/>
      <w:bCs/>
      <w:snapToGrid w:val="0"/>
      <w:sz w:val="20"/>
      <w:szCs w:val="26"/>
    </w:rPr>
  </w:style>
  <w:style w:type="paragraph" w:customStyle="1" w:styleId="Hesber1st">
    <w:name w:val="Hesber 1st"/>
    <w:basedOn w:val="Hesber"/>
    <w:rsid w:val="00991D12"/>
    <w:pPr>
      <w:tabs>
        <w:tab w:val="left" w:pos="680"/>
        <w:tab w:val="left" w:pos="1020"/>
      </w:tabs>
      <w:ind w:firstLine="0"/>
    </w:pPr>
  </w:style>
  <w:style w:type="paragraph" w:customStyle="1" w:styleId="HeadDivreiHesber">
    <w:name w:val="Head DivreiHesber"/>
    <w:basedOn w:val="a"/>
    <w:rsid w:val="00991D12"/>
    <w:pPr>
      <w:snapToGrid w:val="0"/>
      <w:spacing w:before="360" w:after="120"/>
      <w:jc w:val="center"/>
      <w:outlineLvl w:val="1"/>
    </w:pPr>
    <w:rPr>
      <w:rFonts w:ascii="Arial" w:eastAsia="Arial Unicode MS" w:hAnsi="Arial"/>
      <w:b/>
      <w:snapToGrid w:val="0"/>
      <w:spacing w:val="40"/>
      <w:sz w:val="20"/>
      <w:szCs w:val="26"/>
    </w:rPr>
  </w:style>
  <w:style w:type="character" w:customStyle="1" w:styleId="20">
    <w:name w:val="כותרת 2 תו"/>
    <w:basedOn w:val="a0"/>
    <w:link w:val="2"/>
    <w:rsid w:val="00991D12"/>
    <w:rPr>
      <w:rFonts w:asciiTheme="majorHAnsi" w:eastAsiaTheme="majorEastAsia" w:hAnsiTheme="majorHAnsi" w:cs="David"/>
      <w:bCs/>
      <w:sz w:val="26"/>
      <w:szCs w:val="36"/>
      <w:u w:val="single"/>
    </w:rPr>
  </w:style>
  <w:style w:type="character" w:customStyle="1" w:styleId="30">
    <w:name w:val="כותרת 3 תו"/>
    <w:basedOn w:val="a0"/>
    <w:link w:val="3"/>
    <w:rsid w:val="00991D12"/>
    <w:rPr>
      <w:rFonts w:asciiTheme="majorHAnsi" w:eastAsiaTheme="majorEastAsia" w:hAnsiTheme="majorHAnsi" w:cs="David"/>
      <w:sz w:val="24"/>
      <w:szCs w:val="28"/>
      <w:u w:val="double"/>
    </w:rPr>
  </w:style>
  <w:style w:type="character" w:customStyle="1" w:styleId="50">
    <w:name w:val="כותרת 5 תו"/>
    <w:basedOn w:val="a0"/>
    <w:link w:val="5"/>
    <w:uiPriority w:val="9"/>
    <w:rsid w:val="00991D12"/>
    <w:rPr>
      <w:rFonts w:ascii="David" w:hAnsi="David" w:cs="David"/>
      <w:color w:val="000000" w:themeColor="text1"/>
      <w:sz w:val="24"/>
      <w:szCs w:val="24"/>
    </w:rPr>
  </w:style>
  <w:style w:type="paragraph" w:customStyle="1" w:styleId="HeadHatzaotHok4Futer">
    <w:name w:val="Head HatzaotHok4Futer"/>
    <w:basedOn w:val="HeadHatzaotHok"/>
    <w:rsid w:val="00991D12"/>
    <w:pPr>
      <w:spacing w:before="120" w:after="120"/>
    </w:pPr>
    <w:rPr>
      <w:color w:val="FF0000"/>
      <w:w w:val="80"/>
    </w:rPr>
  </w:style>
  <w:style w:type="paragraph" w:styleId="a3">
    <w:name w:val="endnote text"/>
    <w:basedOn w:val="a"/>
    <w:link w:val="a4"/>
    <w:semiHidden/>
    <w:rsid w:val="00991D12"/>
    <w:pPr>
      <w:ind w:left="227" w:hanging="227"/>
    </w:pPr>
    <w:rPr>
      <w:sz w:val="14"/>
      <w:szCs w:val="22"/>
    </w:rPr>
  </w:style>
  <w:style w:type="character" w:customStyle="1" w:styleId="a4">
    <w:name w:val="טקסט הערת סיום תו"/>
    <w:basedOn w:val="a0"/>
    <w:link w:val="a3"/>
    <w:semiHidden/>
    <w:rsid w:val="003549D7"/>
    <w:rPr>
      <w:rFonts w:ascii="David" w:hAnsi="David" w:cs="David"/>
      <w:sz w:val="14"/>
    </w:rPr>
  </w:style>
  <w:style w:type="paragraph" w:customStyle="1" w:styleId="TableInnerSideHeading">
    <w:name w:val="Table InnerSideHeading"/>
    <w:basedOn w:val="TableSideHeading"/>
    <w:rsid w:val="00991D12"/>
    <w:pPr>
      <w:outlineLvl w:val="9"/>
    </w:pPr>
  </w:style>
  <w:style w:type="paragraph" w:customStyle="1" w:styleId="Hesber">
    <w:name w:val="Hesber"/>
    <w:basedOn w:val="a"/>
    <w:rsid w:val="00991D12"/>
    <w:pPr>
      <w:snapToGrid w:val="0"/>
      <w:ind w:left="0" w:firstLine="340"/>
    </w:pPr>
    <w:rPr>
      <w:rFonts w:ascii="Arial" w:eastAsia="Arial Unicode MS" w:hAnsi="Arial"/>
      <w:snapToGrid w:val="0"/>
      <w:sz w:val="20"/>
      <w:szCs w:val="26"/>
    </w:rPr>
  </w:style>
  <w:style w:type="paragraph" w:styleId="a5">
    <w:name w:val="footnote text"/>
    <w:basedOn w:val="a"/>
    <w:link w:val="a6"/>
    <w:autoRedefine/>
    <w:semiHidden/>
    <w:rsid w:val="00991D12"/>
    <w:pPr>
      <w:snapToGrid w:val="0"/>
      <w:spacing w:line="240" w:lineRule="auto"/>
      <w:ind w:left="0"/>
      <w:jc w:val="left"/>
    </w:pPr>
    <w:rPr>
      <w:rFonts w:ascii="Arial" w:eastAsia="Arial Unicode MS" w:hAnsi="Arial"/>
      <w:snapToGrid w:val="0"/>
      <w:sz w:val="14"/>
      <w:szCs w:val="20"/>
    </w:rPr>
  </w:style>
  <w:style w:type="character" w:customStyle="1" w:styleId="a6">
    <w:name w:val="טקסט הערת שוליים תו"/>
    <w:basedOn w:val="a0"/>
    <w:link w:val="a5"/>
    <w:semiHidden/>
    <w:rsid w:val="003549D7"/>
    <w:rPr>
      <w:rFonts w:ascii="Arial" w:eastAsia="Arial Unicode MS" w:hAnsi="Arial" w:cs="David"/>
      <w:snapToGrid w:val="0"/>
      <w:sz w:val="14"/>
      <w:szCs w:val="20"/>
    </w:rPr>
  </w:style>
  <w:style w:type="character" w:styleId="a7">
    <w:name w:val="footnote reference"/>
    <w:aliases w:val="Footnote Reference"/>
    <w:basedOn w:val="a0"/>
    <w:semiHidden/>
    <w:rsid w:val="00991D12"/>
    <w:rPr>
      <w:vertAlign w:val="superscript"/>
    </w:rPr>
  </w:style>
  <w:style w:type="paragraph" w:customStyle="1" w:styleId="HesberHeading">
    <w:name w:val="Hesber Heading"/>
    <w:basedOn w:val="Hesber"/>
    <w:rsid w:val="00991D12"/>
    <w:pPr>
      <w:tabs>
        <w:tab w:val="left" w:pos="624"/>
        <w:tab w:val="left" w:pos="1247"/>
      </w:tabs>
    </w:pPr>
    <w:rPr>
      <w:b/>
      <w:bCs/>
    </w:rPr>
  </w:style>
  <w:style w:type="paragraph" w:customStyle="1" w:styleId="HesberWriters">
    <w:name w:val="Hesber Writers"/>
    <w:basedOn w:val="Hesber"/>
    <w:rsid w:val="00991D12"/>
    <w:pPr>
      <w:spacing w:before="120" w:after="120"/>
      <w:ind w:left="1418"/>
      <w:jc w:val="right"/>
    </w:pPr>
    <w:rPr>
      <w:b/>
      <w:bCs/>
    </w:rPr>
  </w:style>
  <w:style w:type="character" w:styleId="a8">
    <w:name w:val="endnote reference"/>
    <w:basedOn w:val="a0"/>
    <w:semiHidden/>
    <w:rsid w:val="00991D12"/>
    <w:rPr>
      <w:vertAlign w:val="superscript"/>
    </w:rPr>
  </w:style>
  <w:style w:type="paragraph" w:customStyle="1" w:styleId="TableBlockOutdent">
    <w:name w:val="Table BlockOutdent"/>
    <w:basedOn w:val="TableBlock"/>
    <w:rsid w:val="00991D12"/>
    <w:pPr>
      <w:ind w:left="624" w:hanging="624"/>
    </w:pPr>
  </w:style>
  <w:style w:type="paragraph" w:styleId="a9">
    <w:name w:val="header"/>
    <w:basedOn w:val="a"/>
    <w:link w:val="aa"/>
    <w:rsid w:val="00991D12"/>
    <w:pPr>
      <w:tabs>
        <w:tab w:val="center" w:pos="4153"/>
        <w:tab w:val="right" w:pos="8306"/>
      </w:tabs>
    </w:pPr>
  </w:style>
  <w:style w:type="character" w:customStyle="1" w:styleId="aa">
    <w:name w:val="כותרת עליונה תו"/>
    <w:basedOn w:val="a0"/>
    <w:link w:val="a9"/>
    <w:rsid w:val="003549D7"/>
    <w:rPr>
      <w:rFonts w:ascii="David" w:hAnsi="David" w:cs="David"/>
      <w:sz w:val="24"/>
      <w:szCs w:val="24"/>
    </w:rPr>
  </w:style>
  <w:style w:type="paragraph" w:styleId="ab">
    <w:name w:val="footer"/>
    <w:basedOn w:val="a"/>
    <w:link w:val="ac"/>
    <w:rsid w:val="00991D12"/>
    <w:pPr>
      <w:tabs>
        <w:tab w:val="center" w:pos="4153"/>
        <w:tab w:val="right" w:pos="8306"/>
      </w:tabs>
    </w:pPr>
  </w:style>
  <w:style w:type="character" w:customStyle="1" w:styleId="ac">
    <w:name w:val="כותרת תחתונה תו"/>
    <w:basedOn w:val="a0"/>
    <w:link w:val="ab"/>
    <w:rsid w:val="003549D7"/>
    <w:rPr>
      <w:rFonts w:ascii="David" w:hAnsi="David" w:cs="David"/>
      <w:sz w:val="24"/>
      <w:szCs w:val="24"/>
    </w:rPr>
  </w:style>
  <w:style w:type="character" w:styleId="ad">
    <w:name w:val="page number"/>
    <w:basedOn w:val="a0"/>
    <w:rsid w:val="00991D12"/>
  </w:style>
  <w:style w:type="paragraph" w:customStyle="1" w:styleId="Cover1-Reshumot">
    <w:name w:val="Cover 1-Reshumot"/>
    <w:basedOn w:val="a"/>
    <w:rsid w:val="00991D1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991D12"/>
    <w:rPr>
      <w:sz w:val="36"/>
      <w:szCs w:val="52"/>
    </w:rPr>
  </w:style>
  <w:style w:type="paragraph" w:customStyle="1" w:styleId="Cover3-Haknesset">
    <w:name w:val="Cover 3-Haknesset"/>
    <w:basedOn w:val="Cover1-Reshumot"/>
    <w:rsid w:val="00991D12"/>
    <w:rPr>
      <w:b/>
      <w:bCs/>
      <w:spacing w:val="60"/>
    </w:rPr>
  </w:style>
  <w:style w:type="paragraph" w:customStyle="1" w:styleId="Cover4-Date">
    <w:name w:val="Cover 4-Date"/>
    <w:basedOn w:val="a"/>
    <w:rsid w:val="00991D1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991D12"/>
    <w:pPr>
      <w:snapToGrid w:val="0"/>
      <w:jc w:val="left"/>
    </w:pPr>
    <w:rPr>
      <w:rFonts w:ascii="Arial" w:eastAsia="Arial Unicode MS" w:hAnsi="Arial"/>
      <w:snapToGrid w:val="0"/>
      <w:sz w:val="20"/>
      <w:szCs w:val="26"/>
    </w:rPr>
  </w:style>
  <w:style w:type="paragraph" w:styleId="ae">
    <w:name w:val="TOC Heading"/>
    <w:basedOn w:val="1"/>
    <w:next w:val="a"/>
    <w:uiPriority w:val="39"/>
    <w:unhideWhenUsed/>
    <w:qFormat/>
    <w:rsid w:val="00991D12"/>
    <w:pPr>
      <w:widowControl/>
      <w:spacing w:before="120" w:after="120"/>
      <w:outlineLvl w:val="9"/>
    </w:pPr>
    <w:rPr>
      <w:rtl/>
      <w:cs/>
    </w:rPr>
  </w:style>
  <w:style w:type="paragraph" w:styleId="TOC1">
    <w:name w:val="toc 1"/>
    <w:basedOn w:val="a"/>
    <w:next w:val="a"/>
    <w:autoRedefine/>
    <w:uiPriority w:val="39"/>
    <w:unhideWhenUsed/>
    <w:rsid w:val="00991D12"/>
    <w:pPr>
      <w:tabs>
        <w:tab w:val="right" w:leader="dot" w:pos="9629"/>
      </w:tabs>
      <w:spacing w:after="100"/>
    </w:pPr>
    <w:rPr>
      <w:bCs/>
      <w:szCs w:val="22"/>
    </w:rPr>
  </w:style>
  <w:style w:type="paragraph" w:styleId="TOC2">
    <w:name w:val="toc 2"/>
    <w:basedOn w:val="a"/>
    <w:next w:val="a"/>
    <w:uiPriority w:val="39"/>
    <w:unhideWhenUsed/>
    <w:rsid w:val="00991D12"/>
    <w:pPr>
      <w:tabs>
        <w:tab w:val="right" w:leader="dot" w:pos="9628"/>
      </w:tabs>
      <w:spacing w:after="100"/>
    </w:pPr>
    <w:rPr>
      <w:szCs w:val="22"/>
    </w:rPr>
  </w:style>
  <w:style w:type="character" w:styleId="Hyperlink">
    <w:name w:val="Hyperlink"/>
    <w:basedOn w:val="a0"/>
    <w:uiPriority w:val="99"/>
    <w:unhideWhenUsed/>
    <w:rsid w:val="00991D12"/>
    <w:rPr>
      <w:color w:val="0563C1" w:themeColor="hyperlink"/>
      <w:u w:val="single"/>
    </w:rPr>
  </w:style>
  <w:style w:type="paragraph" w:styleId="TOC3">
    <w:name w:val="toc 3"/>
    <w:basedOn w:val="a"/>
    <w:next w:val="a"/>
    <w:uiPriority w:val="39"/>
    <w:unhideWhenUsed/>
    <w:rsid w:val="00991D12"/>
    <w:pPr>
      <w:numPr>
        <w:numId w:val="19"/>
      </w:numPr>
      <w:tabs>
        <w:tab w:val="num" w:pos="360"/>
        <w:tab w:val="right" w:leader="dot" w:pos="9629"/>
      </w:tabs>
      <w:spacing w:after="100"/>
      <w:ind w:left="811" w:hanging="357"/>
    </w:pPr>
    <w:rPr>
      <w:szCs w:val="22"/>
    </w:rPr>
  </w:style>
  <w:style w:type="paragraph" w:styleId="TOC4">
    <w:name w:val="toc 4"/>
    <w:basedOn w:val="a"/>
    <w:next w:val="a"/>
    <w:autoRedefine/>
    <w:uiPriority w:val="39"/>
    <w:unhideWhenUsed/>
    <w:qFormat/>
    <w:rsid w:val="00991D1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991D12"/>
    <w:pPr>
      <w:tabs>
        <w:tab w:val="right" w:leader="dot" w:pos="9628"/>
      </w:tabs>
      <w:spacing w:after="100"/>
      <w:ind w:left="567"/>
    </w:pPr>
    <w:rPr>
      <w:szCs w:val="22"/>
    </w:rPr>
  </w:style>
  <w:style w:type="paragraph" w:styleId="TOC6">
    <w:name w:val="toc 6"/>
    <w:basedOn w:val="a"/>
    <w:next w:val="a"/>
    <w:autoRedefine/>
    <w:semiHidden/>
    <w:unhideWhenUsed/>
    <w:rsid w:val="00991D12"/>
    <w:pPr>
      <w:spacing w:after="100"/>
      <w:ind w:left="850"/>
    </w:pPr>
  </w:style>
  <w:style w:type="paragraph" w:styleId="TOC7">
    <w:name w:val="toc 7"/>
    <w:basedOn w:val="a"/>
    <w:next w:val="a"/>
    <w:autoRedefine/>
    <w:semiHidden/>
    <w:unhideWhenUsed/>
    <w:rsid w:val="00991D12"/>
    <w:pPr>
      <w:spacing w:after="100"/>
      <w:ind w:left="1020"/>
    </w:pPr>
  </w:style>
  <w:style w:type="paragraph" w:styleId="TOC8">
    <w:name w:val="toc 8"/>
    <w:basedOn w:val="a"/>
    <w:next w:val="a"/>
    <w:autoRedefine/>
    <w:semiHidden/>
    <w:unhideWhenUsed/>
    <w:rsid w:val="00991D12"/>
    <w:pPr>
      <w:spacing w:after="100"/>
      <w:ind w:left="1190"/>
    </w:pPr>
  </w:style>
  <w:style w:type="paragraph" w:styleId="TOC9">
    <w:name w:val="toc 9"/>
    <w:basedOn w:val="a"/>
    <w:next w:val="a"/>
    <w:autoRedefine/>
    <w:semiHidden/>
    <w:unhideWhenUsed/>
    <w:rsid w:val="00991D12"/>
    <w:pPr>
      <w:spacing w:after="100"/>
      <w:ind w:left="1360"/>
    </w:pPr>
  </w:style>
  <w:style w:type="paragraph" w:customStyle="1" w:styleId="TableHead2">
    <w:name w:val="Table Head2"/>
    <w:basedOn w:val="TableHead"/>
    <w:qFormat/>
    <w:rsid w:val="00991D12"/>
    <w:pPr>
      <w:outlineLvl w:val="9"/>
    </w:pPr>
  </w:style>
  <w:style w:type="paragraph" w:customStyle="1" w:styleId="TableSideHeading2">
    <w:name w:val="Table SideHeading2"/>
    <w:basedOn w:val="TableSideHeading"/>
    <w:autoRedefine/>
    <w:qFormat/>
    <w:rsid w:val="00991D12"/>
    <w:pPr>
      <w:keepLines w:val="0"/>
      <w:outlineLvl w:val="9"/>
    </w:pPr>
  </w:style>
  <w:style w:type="paragraph" w:customStyle="1" w:styleId="0">
    <w:name w:val="סגנון שורה ראשונה:  0  ס''מ"/>
    <w:basedOn w:val="2"/>
    <w:rsid w:val="00991D12"/>
    <w:rPr>
      <w:rFonts w:eastAsia="Times New Roman"/>
    </w:rPr>
  </w:style>
  <w:style w:type="paragraph" w:styleId="af">
    <w:name w:val="List Paragraph"/>
    <w:basedOn w:val="a"/>
    <w:uiPriority w:val="34"/>
    <w:qFormat/>
    <w:rsid w:val="00991D12"/>
    <w:pPr>
      <w:widowControl/>
      <w:spacing w:line="259" w:lineRule="auto"/>
    </w:pPr>
    <w:rPr>
      <w:rFonts w:asciiTheme="minorHAnsi" w:hAnsiTheme="minorHAnsi"/>
      <w:sz w:val="22"/>
    </w:rPr>
  </w:style>
  <w:style w:type="table" w:styleId="af0">
    <w:name w:val="Table Grid"/>
    <w:basedOn w:val="a1"/>
    <w:rsid w:val="00991D12"/>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991D12"/>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991D12"/>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991D12"/>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991D12"/>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character" w:customStyle="1" w:styleId="default">
    <w:name w:val="default"/>
    <w:basedOn w:val="a0"/>
    <w:rsid w:val="003549D7"/>
  </w:style>
  <w:style w:type="character" w:styleId="af2">
    <w:name w:val="annotation reference"/>
    <w:basedOn w:val="a0"/>
    <w:uiPriority w:val="99"/>
    <w:semiHidden/>
    <w:unhideWhenUsed/>
    <w:rsid w:val="00E16DB7"/>
    <w:rPr>
      <w:sz w:val="16"/>
      <w:szCs w:val="16"/>
    </w:rPr>
  </w:style>
  <w:style w:type="paragraph" w:styleId="af3">
    <w:name w:val="annotation text"/>
    <w:basedOn w:val="a"/>
    <w:link w:val="af4"/>
    <w:uiPriority w:val="99"/>
    <w:semiHidden/>
    <w:unhideWhenUsed/>
    <w:rsid w:val="00E16DB7"/>
    <w:pPr>
      <w:spacing w:line="240" w:lineRule="auto"/>
    </w:pPr>
    <w:rPr>
      <w:sz w:val="20"/>
      <w:szCs w:val="20"/>
    </w:rPr>
  </w:style>
  <w:style w:type="character" w:customStyle="1" w:styleId="af4">
    <w:name w:val="טקסט הערה תו"/>
    <w:basedOn w:val="a0"/>
    <w:link w:val="af3"/>
    <w:uiPriority w:val="99"/>
    <w:semiHidden/>
    <w:rsid w:val="00E16DB7"/>
    <w:rPr>
      <w:rFonts w:ascii="David" w:hAnsi="David" w:cs="David"/>
      <w:sz w:val="20"/>
      <w:szCs w:val="20"/>
    </w:rPr>
  </w:style>
  <w:style w:type="paragraph" w:styleId="af5">
    <w:name w:val="annotation subject"/>
    <w:basedOn w:val="af3"/>
    <w:next w:val="af3"/>
    <w:link w:val="af6"/>
    <w:uiPriority w:val="99"/>
    <w:semiHidden/>
    <w:unhideWhenUsed/>
    <w:rsid w:val="00E16DB7"/>
    <w:rPr>
      <w:b/>
      <w:bCs/>
    </w:rPr>
  </w:style>
  <w:style w:type="character" w:customStyle="1" w:styleId="af6">
    <w:name w:val="נושא הערה תו"/>
    <w:basedOn w:val="af4"/>
    <w:link w:val="af5"/>
    <w:uiPriority w:val="99"/>
    <w:semiHidden/>
    <w:rsid w:val="00E16DB7"/>
    <w:rPr>
      <w:rFonts w:ascii="David" w:hAnsi="David" w:cs="David"/>
      <w:b/>
      <w:bCs/>
      <w:sz w:val="20"/>
      <w:szCs w:val="20"/>
    </w:rPr>
  </w:style>
  <w:style w:type="paragraph" w:styleId="af7">
    <w:name w:val="Balloon Text"/>
    <w:basedOn w:val="a"/>
    <w:link w:val="af8"/>
    <w:uiPriority w:val="99"/>
    <w:semiHidden/>
    <w:unhideWhenUsed/>
    <w:rsid w:val="00E16DB7"/>
    <w:pPr>
      <w:spacing w:line="240" w:lineRule="auto"/>
    </w:pPr>
    <w:rPr>
      <w:rFonts w:ascii="Tahoma" w:hAnsi="Tahoma" w:cs="Tahoma"/>
      <w:sz w:val="18"/>
      <w:szCs w:val="18"/>
    </w:rPr>
  </w:style>
  <w:style w:type="character" w:customStyle="1" w:styleId="af8">
    <w:name w:val="טקסט בלונים תו"/>
    <w:basedOn w:val="a0"/>
    <w:link w:val="af7"/>
    <w:uiPriority w:val="99"/>
    <w:semiHidden/>
    <w:rsid w:val="00E16DB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8304</Characters>
  <Application>Microsoft Office Word</Application>
  <DocSecurity>4</DocSecurity>
  <Lines>69</Lines>
  <Paragraphs>19</Paragraphs>
  <ScaleCrop>false</ScaleCrop>
  <HeadingPairs>
    <vt:vector size="2" baseType="variant">
      <vt:variant>
        <vt:lpstr>שם</vt:lpstr>
      </vt:variant>
      <vt:variant>
        <vt:i4>1</vt:i4>
      </vt:variant>
    </vt:vector>
  </HeadingPairs>
  <TitlesOfParts>
    <vt:vector size="1" baseType="lpstr">
      <vt:lpstr/>
    </vt:vector>
  </TitlesOfParts>
  <Company>ISA</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רוני בקמן</dc:creator>
  <cp:keywords/>
  <dc:description/>
  <cp:lastModifiedBy>יובל אמיר</cp:lastModifiedBy>
  <cp:revision>2</cp:revision>
  <dcterms:created xsi:type="dcterms:W3CDTF">2023-07-06T07:34:00Z</dcterms:created>
  <dcterms:modified xsi:type="dcterms:W3CDTF">2023-07-06T07:34:00Z</dcterms:modified>
</cp:coreProperties>
</file>